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МАГАДАНСКОЙ ОБЛАСТИ</w:t>
      </w: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СТРОИТЕЛЬСТВА, ЖИЛИЩНО-КОММУНАЛЬНОГО ХОЗЯЙСТВА И ЭНЕРГЕТИКИ </w:t>
      </w: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МАГАДАНСКОЙ ОБЛАСТИ</w:t>
      </w: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F04DF8" w:rsidP="00F04DF8">
      <w:pPr>
        <w:pStyle w:val="Default"/>
        <w:jc w:val="center"/>
        <w:rPr>
          <w:b/>
          <w:bCs/>
          <w:sz w:val="28"/>
          <w:szCs w:val="28"/>
        </w:rPr>
      </w:pPr>
    </w:p>
    <w:p w:rsidR="00F04DF8" w:rsidRDefault="004416DD" w:rsidP="00F04DF8">
      <w:pPr>
        <w:pStyle w:val="Default"/>
        <w:jc w:val="center"/>
        <w:rPr>
          <w:b/>
          <w:bCs/>
          <w:sz w:val="28"/>
          <w:szCs w:val="28"/>
        </w:rPr>
      </w:pPr>
      <w:r w:rsidRPr="00B025B8">
        <w:rPr>
          <w:b/>
          <w:bCs/>
          <w:sz w:val="28"/>
          <w:szCs w:val="28"/>
        </w:rPr>
        <w:t>РЕГИОНАЛЬНЫЙ ДОКЛАД</w:t>
      </w:r>
    </w:p>
    <w:p w:rsidR="004416DD" w:rsidRPr="00B025B8" w:rsidRDefault="004416DD" w:rsidP="00F04DF8">
      <w:pPr>
        <w:pStyle w:val="Default"/>
        <w:jc w:val="center"/>
        <w:rPr>
          <w:sz w:val="28"/>
          <w:szCs w:val="28"/>
        </w:rPr>
      </w:pPr>
      <w:r w:rsidRPr="00B025B8">
        <w:rPr>
          <w:b/>
          <w:bCs/>
          <w:sz w:val="28"/>
          <w:szCs w:val="28"/>
        </w:rPr>
        <w:t>о состоянии энергосбережения и повышении энергетической эффективности в Магаданской области в 201</w:t>
      </w:r>
      <w:r w:rsidR="00F04DF8">
        <w:rPr>
          <w:b/>
          <w:bCs/>
          <w:sz w:val="28"/>
          <w:szCs w:val="28"/>
        </w:rPr>
        <w:t>7</w:t>
      </w:r>
      <w:r w:rsidRPr="00B025B8">
        <w:rPr>
          <w:b/>
          <w:bCs/>
          <w:sz w:val="28"/>
          <w:szCs w:val="28"/>
        </w:rPr>
        <w:t xml:space="preserve"> году</w:t>
      </w:r>
    </w:p>
    <w:p w:rsidR="004416DD" w:rsidRPr="00B025B8" w:rsidRDefault="004416DD" w:rsidP="00F04DF8">
      <w:pPr>
        <w:pStyle w:val="Default"/>
        <w:jc w:val="center"/>
        <w:rPr>
          <w:sz w:val="20"/>
          <w:szCs w:val="20"/>
        </w:rPr>
      </w:pPr>
    </w:p>
    <w:p w:rsidR="004416DD" w:rsidRDefault="004416DD" w:rsidP="004416DD">
      <w:pPr>
        <w:pStyle w:val="Default"/>
        <w:jc w:val="both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Default="00F04DF8" w:rsidP="00F04DF8">
      <w:pPr>
        <w:pStyle w:val="Default"/>
        <w:jc w:val="center"/>
        <w:rPr>
          <w:color w:val="auto"/>
        </w:rPr>
      </w:pPr>
    </w:p>
    <w:p w:rsidR="00F04DF8" w:rsidRPr="00B025B8" w:rsidRDefault="00F04DF8" w:rsidP="00F04DF8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Магадан 2018</w:t>
      </w:r>
    </w:p>
    <w:p w:rsidR="004416DD" w:rsidRPr="00B025B8" w:rsidRDefault="004416DD" w:rsidP="004416DD">
      <w:pPr>
        <w:pStyle w:val="Default"/>
        <w:pageBreakBefore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lastRenderedPageBreak/>
        <w:t xml:space="preserve">1. Введение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1.1. Общие сведения о региональном докладе о состоянии энергосбережения и повышении энергетической эффективности в Магаданской области.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2. Мониторинг текущего состояния в области энергосбережения и повышения энергетической эффективности в Магаданской области.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2.1. Мониторинг реализации ключевых направлений государственной политики в области энергосбережения и повышения энергетической эффективности в Магаданской области.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2.1.1. Система управления.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2.1.2. Технологическое и экологическое регулирование.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2.1.</w:t>
      </w:r>
      <w:r w:rsidR="00512D18">
        <w:rPr>
          <w:color w:val="auto"/>
          <w:sz w:val="28"/>
          <w:szCs w:val="28"/>
        </w:rPr>
        <w:t>3</w:t>
      </w:r>
      <w:r w:rsidRPr="00B025B8">
        <w:rPr>
          <w:color w:val="auto"/>
          <w:sz w:val="28"/>
          <w:szCs w:val="28"/>
        </w:rPr>
        <w:t xml:space="preserve">. Внедрение поддерживающих механизмов реализации государственной политики.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2.2. Отраслевой анализ.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2.2.</w:t>
      </w:r>
      <w:r w:rsidR="008F0065">
        <w:rPr>
          <w:color w:val="auto"/>
          <w:sz w:val="28"/>
          <w:szCs w:val="28"/>
        </w:rPr>
        <w:t>1</w:t>
      </w:r>
      <w:r w:rsidRPr="00B025B8">
        <w:rPr>
          <w:color w:val="auto"/>
          <w:sz w:val="28"/>
          <w:szCs w:val="28"/>
        </w:rPr>
        <w:t xml:space="preserve">. Жилищно-коммунальное хозяйство. </w:t>
      </w:r>
    </w:p>
    <w:p w:rsidR="004416DD" w:rsidRPr="00B025B8" w:rsidRDefault="008F0065" w:rsidP="00512D18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2.2.2</w:t>
      </w:r>
      <w:r w:rsidR="004416DD" w:rsidRPr="00B025B8">
        <w:rPr>
          <w:color w:val="auto"/>
          <w:sz w:val="28"/>
          <w:szCs w:val="28"/>
        </w:rPr>
        <w:t xml:space="preserve">. Производство и распределение электроэнергии и воды. </w:t>
      </w:r>
    </w:p>
    <w:p w:rsidR="004416DD" w:rsidRPr="00B025B8" w:rsidRDefault="004416DD" w:rsidP="004416DD">
      <w:pPr>
        <w:pStyle w:val="Default"/>
        <w:pageBreakBefore/>
        <w:jc w:val="both"/>
        <w:rPr>
          <w:color w:val="auto"/>
          <w:sz w:val="28"/>
          <w:szCs w:val="28"/>
        </w:rPr>
      </w:pPr>
      <w:r w:rsidRPr="00B025B8">
        <w:rPr>
          <w:b/>
          <w:bCs/>
          <w:color w:val="auto"/>
          <w:sz w:val="28"/>
          <w:szCs w:val="28"/>
        </w:rPr>
        <w:lastRenderedPageBreak/>
        <w:t xml:space="preserve">1. Введение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Региональный доклад о состоянии энергосбережения и повышении энергетической эффективности в Магаданской области (далее – Региональный доклад) подготовлен министерством строительства, жилищно-коммунального хозяйства и энергетики Магаданской области в соответствии с запросом Министерства энергетики Российской Федерации </w:t>
      </w:r>
      <w:r w:rsidRPr="00B025B8">
        <w:t>от 14.03.2018 г. № ИА-2379/0</w:t>
      </w:r>
      <w:r w:rsidR="008F0065">
        <w:t>4</w:t>
      </w:r>
      <w:r w:rsidRPr="00B025B8">
        <w:rPr>
          <w:color w:val="auto"/>
          <w:sz w:val="28"/>
          <w:szCs w:val="28"/>
        </w:rPr>
        <w:t xml:space="preserve">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b/>
          <w:bCs/>
          <w:color w:val="auto"/>
          <w:sz w:val="28"/>
          <w:szCs w:val="28"/>
        </w:rPr>
        <w:t xml:space="preserve">1.1. Общие сведения о региональном докладе о состоянии энергосбережения и повышении энергетической эффективности в Магаданской области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Региональный доклад включает: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- мониторинг текущего состояния в области энергосбережения;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- мониторинг реализации ключевых направлений государственной политики в области энергосбережения;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- отраслевой анализ.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b/>
          <w:bCs/>
          <w:color w:val="auto"/>
          <w:sz w:val="28"/>
          <w:szCs w:val="28"/>
        </w:rPr>
        <w:t xml:space="preserve">2. Мониторинг текущего состояния в области энергосбережения и повышения энергетической эффективности в Магаданской области </w:t>
      </w:r>
    </w:p>
    <w:p w:rsidR="00B025B8" w:rsidRDefault="00B025B8" w:rsidP="00B025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Магаданская область – один из крупнейших регионов России по потенциальным ресурсам коренного золота и серебра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обуславливает направленность промышленного потребления электроэнергии.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В структуре экономики Магаданской области велика доля производства и распределения энергетических ресурсов – электрической энергии, тепловой энергии, воды. </w:t>
      </w:r>
    </w:p>
    <w:p w:rsidR="00B025B8" w:rsidRPr="00C00FEF" w:rsidRDefault="00B025B8" w:rsidP="00B025B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особенностями энергосистемы Магаданской области являются:</w:t>
      </w:r>
    </w:p>
    <w:p w:rsidR="00B025B8" w:rsidRPr="00C00FEF" w:rsidRDefault="00B025B8" w:rsidP="00B025B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отсутствие технологических связей с ЕЭС России;</w:t>
      </w:r>
    </w:p>
    <w:p w:rsidR="00B025B8" w:rsidRPr="00C00FEF" w:rsidRDefault="00B025B8" w:rsidP="00B025B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избыточная по установленной мощности генерация;</w:t>
      </w:r>
    </w:p>
    <w:p w:rsidR="00B025B8" w:rsidRPr="00C00FEF" w:rsidRDefault="00B025B8" w:rsidP="00B025B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сложные природно-климатические факторы региона, определяющие особенности эксплуатации объектов генерации и электросетевых объектов: пересеченный рельеф местности, вечная мерзлота, годовой перепад температур в 100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- летом + 40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зимой - 60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С; сильные ветры и снегопады, мощные разливы рек и сход лавин, риски маловодия;</w:t>
      </w:r>
    </w:p>
    <w:p w:rsidR="00B025B8" w:rsidRPr="00C00FEF" w:rsidRDefault="00B025B8" w:rsidP="00B0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систему централизованного электроснабжения из-за отсутствия электрических сетей не входят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все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населенные пункты Северо-Эвенского городского округа, поселки Талая, Атка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Хасынского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поселок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Мадаун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Тенькинского городского округа, села Тахтоямск, </w:t>
      </w:r>
      <w:proofErr w:type="spellStart"/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Ямск</w:t>
      </w:r>
      <w:proofErr w:type="spellEnd"/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Ольского городского округа.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Энергетических ресурсов, вырабатываемых с применением возобновляемых источников энергии, не имеется. 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sz w:val="28"/>
          <w:szCs w:val="28"/>
        </w:rPr>
        <w:t xml:space="preserve">Вместе с тем, остается значительный потенциал для снижения потерь энергетических ресурсов в деятельности топливно-энергетического комплекса и жилищно-коммунального хозяйства Магаданской области как на стадии производства, так и при транспортировке и потреблении электроэнергии, тепла и воды.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sz w:val="28"/>
          <w:szCs w:val="28"/>
        </w:rPr>
        <w:lastRenderedPageBreak/>
        <w:t xml:space="preserve">Создание </w:t>
      </w:r>
      <w:r w:rsidRPr="00B025B8">
        <w:rPr>
          <w:color w:val="auto"/>
          <w:sz w:val="28"/>
          <w:szCs w:val="28"/>
        </w:rPr>
        <w:t xml:space="preserve">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Магаданской области. </w:t>
      </w:r>
    </w:p>
    <w:p w:rsidR="000207CD" w:rsidRPr="00B025B8" w:rsidRDefault="00160F60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Наряду с мероприятиями по энергосбережению и повышению энергетической эффективности </w:t>
      </w:r>
      <w:r w:rsidR="000207CD" w:rsidRPr="00B025B8">
        <w:rPr>
          <w:color w:val="auto"/>
          <w:sz w:val="28"/>
          <w:szCs w:val="28"/>
        </w:rPr>
        <w:t xml:space="preserve">в рамках государственной программы Магаданской области «Энергосбережение и повышение энергетической эффективности в Магаданской области» на 2014 – 2020 годы», приоритетом в развитии энергетической системы Магаданской области является повышение энергетической безопасности региона, снижение потерь электрической энергии при ее транспортировке от источников генерации к потребителям, обеспечение внешнего электроснабжения горнорудных предприятий, обеспечение надежности электроснабжения потребителей г. Магадана, ввод в эксплуатацию в проектных параметрах Усть-Среднеканской ГЭС, обеспечение возможности выдачи рабочей мощности в полном объеме Колымской ГЭС и Усть-Среднеканской ГЭС потребителям, в том числе до 140 МВт (в перспективе) в </w:t>
      </w:r>
      <w:proofErr w:type="spellStart"/>
      <w:r w:rsidR="000207CD" w:rsidRPr="00B025B8">
        <w:rPr>
          <w:color w:val="auto"/>
          <w:sz w:val="28"/>
          <w:szCs w:val="28"/>
        </w:rPr>
        <w:t>Чаун-Билибинский</w:t>
      </w:r>
      <w:proofErr w:type="spellEnd"/>
      <w:r w:rsidR="000207CD" w:rsidRPr="00B025B8">
        <w:rPr>
          <w:color w:val="auto"/>
          <w:sz w:val="28"/>
          <w:szCs w:val="28"/>
        </w:rPr>
        <w:t xml:space="preserve"> </w:t>
      </w:r>
      <w:proofErr w:type="spellStart"/>
      <w:r w:rsidR="000207CD" w:rsidRPr="00B025B8">
        <w:rPr>
          <w:color w:val="auto"/>
          <w:sz w:val="28"/>
          <w:szCs w:val="28"/>
        </w:rPr>
        <w:t>энергоузел</w:t>
      </w:r>
      <w:proofErr w:type="spellEnd"/>
      <w:r w:rsidR="000207CD" w:rsidRPr="00B025B8">
        <w:rPr>
          <w:color w:val="auto"/>
          <w:sz w:val="28"/>
          <w:szCs w:val="28"/>
        </w:rPr>
        <w:t xml:space="preserve"> Чукотского автономного округа. Для этих целей реализуются и планируются к реализации следующие электросетевые объекты: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ВЛ 220 кВ «Оротукан – Палатка - Центральная», строительство которой выполнено АО «ДВЭУК» в рамках государственной программы «Социально-экономическое развитие Дальнего Востока и Байкальского региона», утвержденной постановлением Правительства Российской Федерации от 15 апреля 2014 года № 308.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По договору технологического присоединения к электрическим сетям ПАО «Магаданэнерго» выполнены мероприятия «нулевого» этапа, позволяющие осуществить подключение ВЛ 220 кВ «Оротукан-Палатка-Центральная» по классу напряжения 35 кВ: 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До конца 2018 года планируется завершить выполнение мероприятий по технологическому присоединению по классу напряжения 220 </w:t>
      </w:r>
      <w:proofErr w:type="spellStart"/>
      <w:r w:rsidRPr="00B025B8">
        <w:rPr>
          <w:color w:val="auto"/>
          <w:sz w:val="28"/>
          <w:szCs w:val="28"/>
        </w:rPr>
        <w:t>кВ.</w:t>
      </w:r>
      <w:proofErr w:type="spellEnd"/>
      <w:r w:rsidRPr="00B025B8">
        <w:rPr>
          <w:color w:val="auto"/>
          <w:sz w:val="28"/>
          <w:szCs w:val="28"/>
        </w:rPr>
        <w:t xml:space="preserve"> 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Ввод в эксплуатацию ВЛ 220 кВ «Оротукан-Палатка-Центральная» обеспечит: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- передачу мощности Колымской ГЭС и Усть-Среднеканской ГЭС в южную часть Магаданской области и г. Магадан;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- необходимый </w:t>
      </w:r>
      <w:proofErr w:type="spellStart"/>
      <w:r w:rsidRPr="00B025B8">
        <w:rPr>
          <w:color w:val="auto"/>
          <w:sz w:val="28"/>
          <w:szCs w:val="28"/>
        </w:rPr>
        <w:t>переток</w:t>
      </w:r>
      <w:proofErr w:type="spellEnd"/>
      <w:r w:rsidRPr="00B025B8">
        <w:rPr>
          <w:color w:val="auto"/>
          <w:sz w:val="28"/>
          <w:szCs w:val="28"/>
        </w:rPr>
        <w:t xml:space="preserve"> мощности для развития перспективных горнорудных месторождений </w:t>
      </w:r>
      <w:proofErr w:type="spellStart"/>
      <w:r w:rsidRPr="00B025B8">
        <w:rPr>
          <w:color w:val="auto"/>
          <w:sz w:val="28"/>
          <w:szCs w:val="28"/>
        </w:rPr>
        <w:t>Яно</w:t>
      </w:r>
      <w:proofErr w:type="spellEnd"/>
      <w:r w:rsidRPr="00B025B8">
        <w:rPr>
          <w:color w:val="auto"/>
          <w:sz w:val="28"/>
          <w:szCs w:val="28"/>
        </w:rPr>
        <w:t>-Колымской золоторудной провинции в сечении Колымская ГЭС – Усть-Омчуг и далее Усть-Омчуг – Омчак (с учетом проектируемой 2-х цепной ВЛ-220 кВ «Усть-Омчуг – Омчак Новая» с ПС 220 кВ «Омчак Новая»);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- связь центра нагрузок – г. Магадана с объектами генерации – Колымской ГЭС и Усть-Среднеканской ГЭС, повышение надежности электроснабжения потребителей г. Магадана.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2. ПС 220 кВ «Омчак Новая»; </w:t>
      </w:r>
      <w:proofErr w:type="spellStart"/>
      <w:r w:rsidRPr="00B025B8">
        <w:rPr>
          <w:color w:val="auto"/>
          <w:sz w:val="28"/>
          <w:szCs w:val="28"/>
        </w:rPr>
        <w:t>двухцепная</w:t>
      </w:r>
      <w:proofErr w:type="spellEnd"/>
      <w:r w:rsidRPr="00B025B8">
        <w:rPr>
          <w:color w:val="auto"/>
          <w:sz w:val="28"/>
          <w:szCs w:val="28"/>
        </w:rPr>
        <w:t xml:space="preserve"> ВЛ 220 кВ «Усть-Омчуг - Омчак Новая» с РП 220 кВ Усть-Омчуг», строительство которых выполняется АО «Полюс Магадан» в 2016-2018 годах в составе проекта по строительству горнодобывающего и перерабатывающего предприятия на базе </w:t>
      </w:r>
      <w:proofErr w:type="spellStart"/>
      <w:r w:rsidRPr="00B025B8">
        <w:rPr>
          <w:color w:val="auto"/>
          <w:sz w:val="28"/>
          <w:szCs w:val="28"/>
        </w:rPr>
        <w:t>Наталкинского</w:t>
      </w:r>
      <w:proofErr w:type="spellEnd"/>
      <w:r w:rsidRPr="00B025B8">
        <w:rPr>
          <w:color w:val="auto"/>
          <w:sz w:val="28"/>
          <w:szCs w:val="28"/>
        </w:rPr>
        <w:t xml:space="preserve"> золоторудного месторождения – крупнейшего месторождения </w:t>
      </w:r>
      <w:r w:rsidRPr="00B025B8">
        <w:rPr>
          <w:color w:val="auto"/>
          <w:sz w:val="28"/>
          <w:szCs w:val="28"/>
        </w:rPr>
        <w:lastRenderedPageBreak/>
        <w:t xml:space="preserve">на территории </w:t>
      </w:r>
      <w:proofErr w:type="spellStart"/>
      <w:r w:rsidRPr="00B025B8">
        <w:rPr>
          <w:color w:val="auto"/>
          <w:sz w:val="28"/>
          <w:szCs w:val="28"/>
        </w:rPr>
        <w:t>Яно</w:t>
      </w:r>
      <w:proofErr w:type="spellEnd"/>
      <w:r w:rsidRPr="00B025B8">
        <w:rPr>
          <w:color w:val="auto"/>
          <w:sz w:val="28"/>
          <w:szCs w:val="28"/>
        </w:rPr>
        <w:t xml:space="preserve">-Колымской золоторудной провинции. Запрашиваемая мощность энергопринимающих устройств АО «Полюс Магадан»: </w:t>
      </w:r>
      <w:proofErr w:type="gramStart"/>
      <w:r w:rsidRPr="00B025B8">
        <w:rPr>
          <w:color w:val="auto"/>
          <w:sz w:val="28"/>
          <w:szCs w:val="28"/>
        </w:rPr>
        <w:t>80  МВт</w:t>
      </w:r>
      <w:proofErr w:type="gramEnd"/>
      <w:r w:rsidRPr="00B025B8">
        <w:rPr>
          <w:color w:val="auto"/>
          <w:sz w:val="28"/>
          <w:szCs w:val="28"/>
        </w:rPr>
        <w:t xml:space="preserve"> (с учетом первой очереди 42 МВт). Ввод в эксплуатацию указанных объектов обеспечивает возможность дальнейшего развития деятельности предприятия.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Ввод в эксплуатацию данных объектов позволит также разгрузить сечение ВЛ 110 кВ «Усть-Омчуг – Омчак – Кедровый» и использовать его в дальнейшем для технологического присоединения и выдачи дополнительной мощности для месторождений «Павлик 2» и «</w:t>
      </w:r>
      <w:proofErr w:type="spellStart"/>
      <w:r w:rsidRPr="00B025B8">
        <w:rPr>
          <w:color w:val="auto"/>
          <w:sz w:val="28"/>
          <w:szCs w:val="28"/>
        </w:rPr>
        <w:t>Родионовское</w:t>
      </w:r>
      <w:proofErr w:type="spellEnd"/>
      <w:r w:rsidRPr="00B025B8">
        <w:rPr>
          <w:color w:val="auto"/>
          <w:sz w:val="28"/>
          <w:szCs w:val="28"/>
        </w:rPr>
        <w:t>».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3. ПС 110 кВ «</w:t>
      </w:r>
      <w:proofErr w:type="spellStart"/>
      <w:r w:rsidRPr="00B025B8">
        <w:rPr>
          <w:color w:val="auto"/>
          <w:sz w:val="28"/>
          <w:szCs w:val="28"/>
        </w:rPr>
        <w:t>Родионовское</w:t>
      </w:r>
      <w:proofErr w:type="spellEnd"/>
      <w:r w:rsidRPr="00B025B8">
        <w:rPr>
          <w:color w:val="auto"/>
          <w:sz w:val="28"/>
          <w:szCs w:val="28"/>
        </w:rPr>
        <w:t xml:space="preserve">» (инвестиционное предложение), необходимой для обеспечения возможности </w:t>
      </w:r>
      <w:proofErr w:type="gramStart"/>
      <w:r w:rsidRPr="00B025B8">
        <w:rPr>
          <w:color w:val="auto"/>
          <w:sz w:val="28"/>
          <w:szCs w:val="28"/>
        </w:rPr>
        <w:t>подключения</w:t>
      </w:r>
      <w:proofErr w:type="gramEnd"/>
      <w:r w:rsidRPr="00B025B8">
        <w:rPr>
          <w:color w:val="auto"/>
          <w:sz w:val="28"/>
          <w:szCs w:val="28"/>
        </w:rPr>
        <w:t xml:space="preserve"> проектируемого горно-рудного предприятия ООО «ЗИК «Восток Бизнес» на месторождении </w:t>
      </w:r>
      <w:proofErr w:type="spellStart"/>
      <w:r w:rsidRPr="00B025B8">
        <w:rPr>
          <w:color w:val="auto"/>
          <w:sz w:val="28"/>
          <w:szCs w:val="28"/>
        </w:rPr>
        <w:t>Родионовское</w:t>
      </w:r>
      <w:proofErr w:type="spellEnd"/>
      <w:r w:rsidRPr="00B025B8">
        <w:rPr>
          <w:color w:val="auto"/>
          <w:sz w:val="28"/>
          <w:szCs w:val="28"/>
        </w:rPr>
        <w:t>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4. ПС 110 кВ «Павлик» II и III очереди (инвестиционное предложение), необходимой для обеспечения возможности развития </w:t>
      </w:r>
      <w:proofErr w:type="gramStart"/>
      <w:r w:rsidRPr="00B025B8">
        <w:rPr>
          <w:color w:val="auto"/>
          <w:sz w:val="28"/>
          <w:szCs w:val="28"/>
        </w:rPr>
        <w:t>горно-рудных</w:t>
      </w:r>
      <w:proofErr w:type="gramEnd"/>
      <w:r w:rsidRPr="00B025B8">
        <w:rPr>
          <w:color w:val="auto"/>
          <w:sz w:val="28"/>
          <w:szCs w:val="28"/>
        </w:rPr>
        <w:t xml:space="preserve"> предприятий АО «Павлик» на месторождении Павлик.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Ориентировочный срок выполнения мероприятий по технологическому присоединению энергопринимающих устройств АО «Павлик»: II очередь 20 МВт (с учетом I очереди – 45 МВт) -  2019г., III очередь – 25 МВт (с учетом I и II очереди 70 МВт) – 2021 год.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5. ВЛ 110 кВ «Оротукан – ГПП – Сеймчан», строительство которой обусловлено необходимостью обеспечения: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- электроснабжения перспективных потребителей Среднеканского городского округа,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 - возможности технологического присоединения к электрическим сетям </w:t>
      </w:r>
      <w:proofErr w:type="gramStart"/>
      <w:r w:rsidRPr="00B025B8">
        <w:rPr>
          <w:color w:val="auto"/>
          <w:sz w:val="28"/>
          <w:szCs w:val="28"/>
        </w:rPr>
        <w:t>горно-рудных</w:t>
      </w:r>
      <w:proofErr w:type="gramEnd"/>
      <w:r w:rsidRPr="00B025B8">
        <w:rPr>
          <w:color w:val="auto"/>
          <w:sz w:val="28"/>
          <w:szCs w:val="28"/>
        </w:rPr>
        <w:t xml:space="preserve"> предприятий </w:t>
      </w:r>
      <w:proofErr w:type="spellStart"/>
      <w:r w:rsidRPr="00B025B8">
        <w:rPr>
          <w:color w:val="auto"/>
          <w:sz w:val="28"/>
          <w:szCs w:val="28"/>
        </w:rPr>
        <w:t>Кунаревской</w:t>
      </w:r>
      <w:proofErr w:type="spellEnd"/>
      <w:r w:rsidRPr="00B025B8">
        <w:rPr>
          <w:color w:val="auto"/>
          <w:sz w:val="28"/>
          <w:szCs w:val="28"/>
        </w:rPr>
        <w:t xml:space="preserve"> перспективной площади. 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Пропускной способности действующей ВЛ 35 кВ «ГПП−Сеймчан» для этих целей недостаточно, ввод в эксплуатацию новой линии электропередачи направлен на повышение степени надежности электроснабжения потребителей Среднеканского городского округа.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6. ПС 220/110/35 кВ «Мякит», а также сети и ПС 35 кВ, строительство которых направлено на создание электросетевой инфраструктуры для присоединения энергопринимающих устройств мощностью 6 МВт ООО «Золотодобывающая корпорация» в районе месторождений «</w:t>
      </w:r>
      <w:proofErr w:type="spellStart"/>
      <w:r w:rsidRPr="00B025B8">
        <w:rPr>
          <w:color w:val="auto"/>
          <w:sz w:val="28"/>
          <w:szCs w:val="28"/>
        </w:rPr>
        <w:t>Бутарное</w:t>
      </w:r>
      <w:proofErr w:type="spellEnd"/>
      <w:r w:rsidRPr="00B025B8">
        <w:rPr>
          <w:color w:val="auto"/>
          <w:sz w:val="28"/>
          <w:szCs w:val="28"/>
        </w:rPr>
        <w:t xml:space="preserve">». В перспективе на присоединение к электрическим сетям «ПАО «Магаданэнерго» могут рассчитывать и другие близлежащие месторождения (Днепровское, </w:t>
      </w:r>
      <w:proofErr w:type="spellStart"/>
      <w:r w:rsidRPr="00B025B8">
        <w:rPr>
          <w:color w:val="auto"/>
          <w:sz w:val="28"/>
          <w:szCs w:val="28"/>
        </w:rPr>
        <w:t>Нявленга</w:t>
      </w:r>
      <w:proofErr w:type="spellEnd"/>
      <w:r w:rsidRPr="00B025B8">
        <w:rPr>
          <w:color w:val="auto"/>
          <w:sz w:val="28"/>
          <w:szCs w:val="28"/>
        </w:rPr>
        <w:t xml:space="preserve">, </w:t>
      </w:r>
      <w:proofErr w:type="spellStart"/>
      <w:r w:rsidRPr="00B025B8">
        <w:rPr>
          <w:color w:val="auto"/>
          <w:sz w:val="28"/>
          <w:szCs w:val="28"/>
        </w:rPr>
        <w:t>Хурганское</w:t>
      </w:r>
      <w:proofErr w:type="spellEnd"/>
      <w:r w:rsidRPr="00B025B8">
        <w:rPr>
          <w:color w:val="auto"/>
          <w:sz w:val="28"/>
          <w:szCs w:val="28"/>
        </w:rPr>
        <w:t xml:space="preserve">, Джульетта). 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Строительство электросетевых объектов предусмотрено в 2018-2019 годах в рамках заключенного в 2017 году трёхстороннего соглашения о реализации инвестиционного проекта «Создание электросетевой инфраструктуры для комплексного освоения месторождений и электроснабжения населенных пунктов на территории Хасынского городского округа Магаданской области» между Правительством Магаданской области, ООО «Золотодобывающая Корпорация» и ПАО «Магаданэнерго». Данный проект является социально значимым, обеспечивая возможность для перевода на централизованное электроснабжение пос. Талая, включая Санаторий «Талая» - уникальный </w:t>
      </w:r>
      <w:r w:rsidRPr="00B025B8">
        <w:rPr>
          <w:color w:val="auto"/>
          <w:sz w:val="28"/>
          <w:szCs w:val="28"/>
        </w:rPr>
        <w:lastRenderedPageBreak/>
        <w:t>бальнеогрязевой курорт на Дальнем Востоке, претендующий на получение статуса санатория федерального значения.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В течение 2018-2020 годов в рамках Инвестиционной программы ПАО «Магаданэнерго» будут выполняться мероприятия по технологическому присоединению к электрическим сетям объектов: ПС 35 кВ "</w:t>
      </w:r>
      <w:proofErr w:type="spellStart"/>
      <w:r w:rsidRPr="00B025B8">
        <w:rPr>
          <w:color w:val="auto"/>
          <w:sz w:val="28"/>
          <w:szCs w:val="28"/>
        </w:rPr>
        <w:t>Бутарное</w:t>
      </w:r>
      <w:proofErr w:type="spellEnd"/>
      <w:r w:rsidRPr="00B025B8">
        <w:rPr>
          <w:color w:val="auto"/>
          <w:sz w:val="28"/>
          <w:szCs w:val="28"/>
        </w:rPr>
        <w:t>", ПС 35 кВ "Участок-2", ПС 35 кВ "Участок-3" со строительством захода-выхода от ВЛ-220 кВ «Оротукан – Палатка – Центральная» до ПС 220/110/35кВ «Мякит», ПС 220/110/35кВ «Мякит», ВЛ-35 кВ «Мякит-</w:t>
      </w:r>
      <w:proofErr w:type="spellStart"/>
      <w:r w:rsidRPr="00B025B8">
        <w:rPr>
          <w:color w:val="auto"/>
          <w:sz w:val="28"/>
          <w:szCs w:val="28"/>
        </w:rPr>
        <w:t>Бутарное</w:t>
      </w:r>
      <w:proofErr w:type="spellEnd"/>
      <w:r w:rsidRPr="00B025B8">
        <w:rPr>
          <w:color w:val="auto"/>
          <w:sz w:val="28"/>
          <w:szCs w:val="28"/>
        </w:rPr>
        <w:t>», ВЛ 35 кВ «Мякит-Участок-2», ВЛ 35 кВ «Мякит - Участок-3.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7. </w:t>
      </w:r>
      <w:proofErr w:type="spellStart"/>
      <w:r w:rsidRPr="00B025B8">
        <w:rPr>
          <w:color w:val="auto"/>
          <w:sz w:val="28"/>
          <w:szCs w:val="28"/>
        </w:rPr>
        <w:t>Одноцепная</w:t>
      </w:r>
      <w:proofErr w:type="spellEnd"/>
      <w:r w:rsidRPr="00B025B8">
        <w:rPr>
          <w:color w:val="auto"/>
          <w:sz w:val="28"/>
          <w:szCs w:val="28"/>
        </w:rPr>
        <w:t xml:space="preserve"> линия электропередачи ВЛ 220 кВ «Усть-Среднеканская ГЭС– РП «Омсукчан» с распределительным пунктом РП 220 кВ «Омсукчан» (другое наименование: Участок ВЛ «опора №58 (угол 28) – РП 220 кВ «Омсукчан» ВЛ 220 кВ «Усть-Среднеканская ГЭС - РП 220 кВ «Омсукчан»), строительство </w:t>
      </w:r>
      <w:proofErr w:type="gramStart"/>
      <w:r w:rsidRPr="00B025B8">
        <w:rPr>
          <w:color w:val="auto"/>
          <w:sz w:val="28"/>
          <w:szCs w:val="28"/>
        </w:rPr>
        <w:t>которой  необходимо</w:t>
      </w:r>
      <w:proofErr w:type="gramEnd"/>
      <w:r w:rsidRPr="00B025B8">
        <w:rPr>
          <w:color w:val="auto"/>
          <w:sz w:val="28"/>
          <w:szCs w:val="28"/>
        </w:rPr>
        <w:t xml:space="preserve"> в целях технологического присоединения </w:t>
      </w:r>
      <w:proofErr w:type="spellStart"/>
      <w:r w:rsidRPr="00B025B8">
        <w:rPr>
          <w:color w:val="auto"/>
          <w:sz w:val="28"/>
          <w:szCs w:val="28"/>
        </w:rPr>
        <w:t>Баимского</w:t>
      </w:r>
      <w:proofErr w:type="spellEnd"/>
      <w:r w:rsidRPr="00B025B8">
        <w:rPr>
          <w:color w:val="auto"/>
          <w:sz w:val="28"/>
          <w:szCs w:val="28"/>
        </w:rPr>
        <w:t xml:space="preserve"> ГОКа (ООО «</w:t>
      </w:r>
      <w:proofErr w:type="spellStart"/>
      <w:r w:rsidRPr="00B025B8">
        <w:rPr>
          <w:color w:val="auto"/>
          <w:sz w:val="28"/>
          <w:szCs w:val="28"/>
        </w:rPr>
        <w:t>Дальэнергомост</w:t>
      </w:r>
      <w:proofErr w:type="spellEnd"/>
      <w:r w:rsidRPr="00B025B8">
        <w:rPr>
          <w:color w:val="auto"/>
          <w:sz w:val="28"/>
          <w:szCs w:val="28"/>
        </w:rPr>
        <w:t>», Чукотский автономный округ).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Новая линия электропередачи позволит разгрузить существующую ВЛ 220 кВ «Оротукан-Омсукчан» с возможностью передачи 65 МВт, </w:t>
      </w:r>
      <w:proofErr w:type="spellStart"/>
      <w:r w:rsidRPr="00B025B8">
        <w:rPr>
          <w:color w:val="auto"/>
          <w:sz w:val="28"/>
          <w:szCs w:val="28"/>
        </w:rPr>
        <w:t>одноцепную</w:t>
      </w:r>
      <w:proofErr w:type="spellEnd"/>
      <w:r w:rsidRPr="00B025B8">
        <w:rPr>
          <w:color w:val="auto"/>
          <w:sz w:val="28"/>
          <w:szCs w:val="28"/>
        </w:rPr>
        <w:t xml:space="preserve">, проходящую в труднодоступных местах, что осложняет ее обслуживание и эксплуатацию, значительно снижая степень надежности электроснабжения потребителей. 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Технические характеристики ВЛ 220 кВ «Усть-Среднеканская ГЭС– Омсукчан» с распределительным пунктом РП 220 кВ «</w:t>
      </w:r>
      <w:proofErr w:type="gramStart"/>
      <w:r w:rsidRPr="00B025B8">
        <w:rPr>
          <w:color w:val="auto"/>
          <w:sz w:val="28"/>
          <w:szCs w:val="28"/>
        </w:rPr>
        <w:t>Омсукчан»  ориентированы</w:t>
      </w:r>
      <w:proofErr w:type="gramEnd"/>
      <w:r w:rsidRPr="00B025B8">
        <w:rPr>
          <w:color w:val="auto"/>
          <w:sz w:val="28"/>
          <w:szCs w:val="28"/>
        </w:rPr>
        <w:t xml:space="preserve"> на обеспечение возможности выдачи свободной мощности Магаданской энергосистемы потребителям Чукотского автономного округа. В тоже время наличие указанной линии делает возможной в перспективе организацию </w:t>
      </w:r>
      <w:proofErr w:type="spellStart"/>
      <w:r w:rsidRPr="00B025B8">
        <w:rPr>
          <w:color w:val="auto"/>
          <w:sz w:val="28"/>
          <w:szCs w:val="28"/>
        </w:rPr>
        <w:t>централизированного</w:t>
      </w:r>
      <w:proofErr w:type="spellEnd"/>
      <w:r w:rsidRPr="00B025B8">
        <w:rPr>
          <w:color w:val="auto"/>
          <w:sz w:val="28"/>
          <w:szCs w:val="28"/>
        </w:rPr>
        <w:t xml:space="preserve"> энергоснабжения территории Северо-Эвенского городского округа Магаданской области, включая </w:t>
      </w:r>
      <w:proofErr w:type="spellStart"/>
      <w:r w:rsidRPr="00B025B8">
        <w:rPr>
          <w:color w:val="auto"/>
          <w:sz w:val="28"/>
          <w:szCs w:val="28"/>
        </w:rPr>
        <w:t>Омолонский</w:t>
      </w:r>
      <w:proofErr w:type="spellEnd"/>
      <w:r w:rsidRPr="00B025B8">
        <w:rPr>
          <w:color w:val="auto"/>
          <w:sz w:val="28"/>
          <w:szCs w:val="28"/>
        </w:rPr>
        <w:t xml:space="preserve"> рудный район и Северо-Эвенский рудно-россыпной район.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Продолжением развития системы электроснабжения </w:t>
      </w:r>
      <w:proofErr w:type="spellStart"/>
      <w:r w:rsidRPr="00B025B8">
        <w:rPr>
          <w:color w:val="auto"/>
          <w:sz w:val="28"/>
          <w:szCs w:val="28"/>
        </w:rPr>
        <w:t>Яно</w:t>
      </w:r>
      <w:proofErr w:type="spellEnd"/>
      <w:r w:rsidRPr="00B025B8">
        <w:rPr>
          <w:color w:val="auto"/>
          <w:sz w:val="28"/>
          <w:szCs w:val="28"/>
        </w:rPr>
        <w:t>-Колымской золоторудной провинции после 2022 года рассматриваются перспективные проекты: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Строительство второй ВЛ 220 кВ «Ягодное – Берелёх» с РП 220 кВ ПС «Ягодное»;</w:t>
      </w:r>
    </w:p>
    <w:p w:rsidR="000207CD" w:rsidRPr="00B025B8" w:rsidRDefault="000207CD" w:rsidP="000207C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Строительство ВЛ 220 кВ «Берелёх – Омчак Новая» с РП 220 кВ ПС «Берелёх».</w:t>
      </w:r>
    </w:p>
    <w:p w:rsidR="00160F60" w:rsidRPr="00B025B8" w:rsidRDefault="00160F60" w:rsidP="004416DD">
      <w:pPr>
        <w:pStyle w:val="Default"/>
        <w:jc w:val="both"/>
        <w:rPr>
          <w:sz w:val="28"/>
          <w:szCs w:val="28"/>
        </w:rPr>
      </w:pP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b/>
          <w:bCs/>
          <w:sz w:val="28"/>
          <w:szCs w:val="28"/>
        </w:rPr>
        <w:t xml:space="preserve">2.1. Мониторинг реализации ключевых направлений государственной политики в области энергосбережения и повышения энергетической эффективности 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sz w:val="28"/>
          <w:szCs w:val="28"/>
        </w:rPr>
        <w:t xml:space="preserve">Ключевые направления государственной политики Магаданской области в сфере энергосбережения и повышения энергетической эффективности установлены Федеральным законом от 23.11.2009 № 261-ФЗ «Об энергосбережении и о повышении </w:t>
      </w:r>
      <w:proofErr w:type="gramStart"/>
      <w:r w:rsidRPr="00B025B8">
        <w:rPr>
          <w:sz w:val="28"/>
          <w:szCs w:val="28"/>
        </w:rPr>
        <w:t>энергетической эффективности</w:t>
      </w:r>
      <w:proofErr w:type="gramEnd"/>
      <w:r w:rsidRPr="00B025B8">
        <w:rPr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№ 261- ФЗ). 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b/>
          <w:bCs/>
          <w:sz w:val="28"/>
          <w:szCs w:val="28"/>
        </w:rPr>
        <w:lastRenderedPageBreak/>
        <w:t xml:space="preserve">2.1.1. Система управления 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sz w:val="28"/>
          <w:szCs w:val="28"/>
        </w:rPr>
        <w:t>Региональные программы энергосбережения реализу</w:t>
      </w:r>
      <w:r w:rsidR="0088260D" w:rsidRPr="00B025B8">
        <w:rPr>
          <w:sz w:val="28"/>
          <w:szCs w:val="28"/>
        </w:rPr>
        <w:t>ются в Магаданской области с 2013</w:t>
      </w:r>
      <w:r w:rsidRPr="00B025B8">
        <w:rPr>
          <w:sz w:val="28"/>
          <w:szCs w:val="28"/>
        </w:rPr>
        <w:t xml:space="preserve"> года. 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sz w:val="28"/>
          <w:szCs w:val="28"/>
        </w:rPr>
        <w:t>В настоящее время действует областная государственная программа «</w:t>
      </w:r>
      <w:proofErr w:type="spellStart"/>
      <w:r w:rsidRPr="00B025B8">
        <w:rPr>
          <w:sz w:val="28"/>
          <w:szCs w:val="28"/>
        </w:rPr>
        <w:t>Энергоэффективность</w:t>
      </w:r>
      <w:proofErr w:type="spellEnd"/>
      <w:r w:rsidRPr="00B025B8">
        <w:rPr>
          <w:sz w:val="28"/>
          <w:szCs w:val="28"/>
        </w:rPr>
        <w:t xml:space="preserve"> и развитие энергетики в Магаданской области» на 2014-2020 годы (далее – Программа), утвержденная постановлением </w:t>
      </w:r>
      <w:r w:rsidR="00B025B8" w:rsidRPr="00B025B8">
        <w:rPr>
          <w:sz w:val="28"/>
          <w:szCs w:val="28"/>
        </w:rPr>
        <w:t>а</w:t>
      </w:r>
      <w:r w:rsidRPr="00B025B8">
        <w:rPr>
          <w:sz w:val="28"/>
          <w:szCs w:val="28"/>
        </w:rPr>
        <w:t xml:space="preserve">дминистрации Магаданской области от </w:t>
      </w:r>
      <w:r w:rsidR="00B025B8" w:rsidRPr="00B025B8">
        <w:rPr>
          <w:sz w:val="28"/>
          <w:szCs w:val="28"/>
        </w:rPr>
        <w:t>12</w:t>
      </w:r>
      <w:r w:rsidRPr="00B025B8">
        <w:rPr>
          <w:sz w:val="28"/>
          <w:szCs w:val="28"/>
        </w:rPr>
        <w:t>.1</w:t>
      </w:r>
      <w:r w:rsidR="00B025B8" w:rsidRPr="00B025B8">
        <w:rPr>
          <w:sz w:val="28"/>
          <w:szCs w:val="28"/>
        </w:rPr>
        <w:t>2</w:t>
      </w:r>
      <w:r w:rsidRPr="00B025B8">
        <w:rPr>
          <w:sz w:val="28"/>
          <w:szCs w:val="28"/>
        </w:rPr>
        <w:t xml:space="preserve">.2013 № </w:t>
      </w:r>
      <w:r w:rsidR="00B025B8" w:rsidRPr="00B025B8">
        <w:rPr>
          <w:sz w:val="28"/>
          <w:szCs w:val="28"/>
        </w:rPr>
        <w:t>1244-па</w:t>
      </w:r>
      <w:r w:rsidRPr="00B025B8">
        <w:rPr>
          <w:sz w:val="28"/>
          <w:szCs w:val="28"/>
        </w:rPr>
        <w:t xml:space="preserve">. </w:t>
      </w:r>
    </w:p>
    <w:p w:rsidR="00B025B8" w:rsidRPr="00B025B8" w:rsidRDefault="004416DD" w:rsidP="004416D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="00B025B8" w:rsidRPr="00B025B8">
        <w:rPr>
          <w:rFonts w:ascii="Times New Roman" w:hAnsi="Times New Roman" w:cs="Times New Roman"/>
          <w:sz w:val="28"/>
          <w:szCs w:val="28"/>
        </w:rPr>
        <w:t>:</w:t>
      </w:r>
    </w:p>
    <w:p w:rsidR="00B025B8" w:rsidRPr="00B025B8" w:rsidRDefault="00B025B8" w:rsidP="00B0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>- снижение объемов электроэнергии,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учреждениями;</w:t>
      </w:r>
    </w:p>
    <w:p w:rsidR="00B025B8" w:rsidRPr="00B025B8" w:rsidRDefault="00B025B8" w:rsidP="00B0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 xml:space="preserve">- снижение объемов </w:t>
      </w:r>
      <w:proofErr w:type="spellStart"/>
      <w:r w:rsidRPr="00B025B8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B025B8">
        <w:rPr>
          <w:rFonts w:ascii="Times New Roman" w:hAnsi="Times New Roman" w:cs="Times New Roman"/>
          <w:sz w:val="28"/>
          <w:szCs w:val="28"/>
        </w:rPr>
        <w:t xml:space="preserve">, потребляемой бюджетными учреждениями, расчеты за которую осуществляются с использованием приборов учета, в общем объеме </w:t>
      </w:r>
      <w:proofErr w:type="spellStart"/>
      <w:r w:rsidRPr="00B025B8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B025B8">
        <w:rPr>
          <w:rFonts w:ascii="Times New Roman" w:hAnsi="Times New Roman" w:cs="Times New Roman"/>
          <w:sz w:val="28"/>
          <w:szCs w:val="28"/>
        </w:rPr>
        <w:t>, потребляемой бюджетными учреждениями;</w:t>
      </w:r>
    </w:p>
    <w:p w:rsidR="00B025B8" w:rsidRPr="00B025B8" w:rsidRDefault="00B025B8" w:rsidP="00B0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>- снижение объемов воды,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учреждениями;</w:t>
      </w:r>
    </w:p>
    <w:p w:rsidR="00B025B8" w:rsidRPr="00B025B8" w:rsidRDefault="00B025B8" w:rsidP="00B0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>- снижение расходов бюджета Магаданской области на обеспечение энергетическими ресурсами бюджетных учреждений (для фактических условий);</w:t>
      </w:r>
    </w:p>
    <w:p w:rsidR="00B025B8" w:rsidRPr="00B025B8" w:rsidRDefault="00B025B8" w:rsidP="00B0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>- полный переход на приборный учет при расчетах за коммунальные услуги жилого фонда и, как результат, снижение затрат на оплату коммунальных услуг граждан;</w:t>
      </w:r>
    </w:p>
    <w:p w:rsidR="00B025B8" w:rsidRPr="00B025B8" w:rsidRDefault="00B025B8" w:rsidP="00B0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>- создание условий для повышения доступности энергетических ресурсов;</w:t>
      </w:r>
    </w:p>
    <w:p w:rsidR="00B025B8" w:rsidRPr="00B025B8" w:rsidRDefault="00B025B8" w:rsidP="00B0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sz w:val="28"/>
          <w:szCs w:val="28"/>
        </w:rPr>
        <w:t xml:space="preserve">Система управления энергосбережением и повышением энергетической эффективности в Магаданской области предусматривает реализацию не только областной государственной программы, но и программ энергосбережения и повышения энергетической эффективности муниципальных образований Магаданской области и программ энергосбережения хозяйствующих субъектов. 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b/>
          <w:bCs/>
          <w:sz w:val="28"/>
          <w:szCs w:val="28"/>
        </w:rPr>
        <w:t xml:space="preserve">2.1.2. Технологическое и экологическое регулирование </w:t>
      </w:r>
    </w:p>
    <w:p w:rsidR="004416DD" w:rsidRPr="00B025B8" w:rsidRDefault="004416DD" w:rsidP="004416DD">
      <w:pPr>
        <w:jc w:val="both"/>
        <w:rPr>
          <w:rFonts w:ascii="Times New Roman" w:hAnsi="Times New Roman" w:cs="Times New Roman"/>
          <w:sz w:val="28"/>
          <w:szCs w:val="28"/>
        </w:rPr>
      </w:pPr>
      <w:r w:rsidRPr="00B025B8">
        <w:rPr>
          <w:rFonts w:ascii="Times New Roman" w:hAnsi="Times New Roman" w:cs="Times New Roman"/>
          <w:sz w:val="28"/>
          <w:szCs w:val="28"/>
        </w:rPr>
        <w:t xml:space="preserve">Технические и технологическое регулирование осуществляется на федеральном уровне федеральными законами, нормативными актами Минэнерго России, а также отраслевыми нормами и правилами, в том числе Федеральным законом от 10.01.2002 № 7-ФЗ «Об охране окружающей среды», Федеральным законом от 27.07.2009 № 190-ФЗ «О теплоснабжении», Федеральным законом от 07.12.2011 № 416-ФЗ «О водоснабжении и водоотведении», СП 89.13330.2012 «СНиП II-35-76 «Котельные установки», СП 124.13330.2012 «СНиП 41-02-2003 «Тепловые сети», СП 60.13330.2012 </w:t>
      </w:r>
      <w:r w:rsidRPr="00B025B8">
        <w:rPr>
          <w:rFonts w:ascii="Times New Roman" w:hAnsi="Times New Roman" w:cs="Times New Roman"/>
          <w:sz w:val="28"/>
          <w:szCs w:val="28"/>
        </w:rPr>
        <w:lastRenderedPageBreak/>
        <w:t>«СНиП 41-01-2003 «Отопление, вентиляция и кондиционирование воздуха», СП 31.13330.2012. «СНиП 2.04.02-84* «Водоснабжение. Наружные сети и сооружения».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b/>
          <w:bCs/>
          <w:sz w:val="28"/>
          <w:szCs w:val="28"/>
        </w:rPr>
        <w:t>2.1.</w:t>
      </w:r>
      <w:r w:rsidR="00B025B8" w:rsidRPr="00B025B8">
        <w:rPr>
          <w:b/>
          <w:bCs/>
          <w:sz w:val="28"/>
          <w:szCs w:val="28"/>
        </w:rPr>
        <w:t>3</w:t>
      </w:r>
      <w:r w:rsidRPr="00B025B8">
        <w:rPr>
          <w:b/>
          <w:bCs/>
          <w:sz w:val="28"/>
          <w:szCs w:val="28"/>
        </w:rPr>
        <w:t xml:space="preserve">. Внедрение поддерживающих механизмов реализации государственной политики </w:t>
      </w:r>
    </w:p>
    <w:p w:rsidR="004416DD" w:rsidRPr="00B025B8" w:rsidRDefault="004416DD" w:rsidP="004416DD">
      <w:pPr>
        <w:pStyle w:val="Default"/>
        <w:jc w:val="both"/>
        <w:rPr>
          <w:sz w:val="28"/>
          <w:szCs w:val="28"/>
        </w:rPr>
      </w:pPr>
      <w:r w:rsidRPr="00B025B8">
        <w:rPr>
          <w:sz w:val="28"/>
          <w:szCs w:val="28"/>
        </w:rPr>
        <w:t>В период с</w:t>
      </w:r>
      <w:r w:rsidR="00B025B8" w:rsidRPr="00B025B8">
        <w:rPr>
          <w:sz w:val="28"/>
          <w:szCs w:val="28"/>
        </w:rPr>
        <w:t>о</w:t>
      </w:r>
      <w:r w:rsidRPr="00B025B8">
        <w:rPr>
          <w:sz w:val="28"/>
          <w:szCs w:val="28"/>
        </w:rPr>
        <w:t xml:space="preserve"> </w:t>
      </w:r>
      <w:r w:rsidR="00B025B8" w:rsidRPr="00B025B8">
        <w:rPr>
          <w:sz w:val="28"/>
          <w:szCs w:val="28"/>
        </w:rPr>
        <w:t>1</w:t>
      </w:r>
      <w:r w:rsidRPr="00B025B8">
        <w:rPr>
          <w:sz w:val="28"/>
          <w:szCs w:val="28"/>
        </w:rPr>
        <w:t xml:space="preserve"> по </w:t>
      </w:r>
      <w:r w:rsidR="00B025B8" w:rsidRPr="00B025B8">
        <w:rPr>
          <w:sz w:val="28"/>
          <w:szCs w:val="28"/>
        </w:rPr>
        <w:t>23</w:t>
      </w:r>
      <w:r w:rsidRPr="00B025B8">
        <w:rPr>
          <w:sz w:val="28"/>
          <w:szCs w:val="28"/>
        </w:rPr>
        <w:t xml:space="preserve"> сентября 201</w:t>
      </w:r>
      <w:r w:rsidR="00B025B8" w:rsidRPr="00B025B8">
        <w:rPr>
          <w:sz w:val="28"/>
          <w:szCs w:val="28"/>
        </w:rPr>
        <w:t>7</w:t>
      </w:r>
      <w:r w:rsidRPr="00B025B8">
        <w:rPr>
          <w:sz w:val="28"/>
          <w:szCs w:val="28"/>
        </w:rPr>
        <w:t xml:space="preserve"> обеспечено участие Магаданской области года во Всероссийском фестивале энергосбережения #</w:t>
      </w:r>
      <w:proofErr w:type="spellStart"/>
      <w:r w:rsidRPr="00B025B8">
        <w:rPr>
          <w:sz w:val="28"/>
          <w:szCs w:val="28"/>
        </w:rPr>
        <w:t>ВместеЯрче</w:t>
      </w:r>
      <w:proofErr w:type="spellEnd"/>
      <w:r w:rsidRPr="00B025B8">
        <w:rPr>
          <w:sz w:val="28"/>
          <w:szCs w:val="28"/>
        </w:rPr>
        <w:t xml:space="preserve">. </w:t>
      </w:r>
    </w:p>
    <w:p w:rsidR="00512D18" w:rsidRDefault="004416DD" w:rsidP="00512D18">
      <w:pPr>
        <w:pStyle w:val="Default"/>
        <w:jc w:val="both"/>
        <w:rPr>
          <w:sz w:val="20"/>
          <w:szCs w:val="20"/>
        </w:rPr>
      </w:pPr>
      <w:r w:rsidRPr="00B025B8">
        <w:rPr>
          <w:sz w:val="28"/>
          <w:szCs w:val="28"/>
        </w:rPr>
        <w:t>Всероссийский фестиваль энергосбережения #</w:t>
      </w:r>
      <w:proofErr w:type="spellStart"/>
      <w:r w:rsidRPr="00B025B8">
        <w:rPr>
          <w:sz w:val="28"/>
          <w:szCs w:val="28"/>
        </w:rPr>
        <w:t>ВместеЯрче</w:t>
      </w:r>
      <w:proofErr w:type="spellEnd"/>
      <w:r w:rsidRPr="00B025B8">
        <w:rPr>
          <w:sz w:val="28"/>
          <w:szCs w:val="28"/>
        </w:rPr>
        <w:t xml:space="preserve"> проводится при поддержке Минэнерго России, </w:t>
      </w:r>
      <w:proofErr w:type="spellStart"/>
      <w:r w:rsidRPr="00B025B8">
        <w:rPr>
          <w:sz w:val="28"/>
          <w:szCs w:val="28"/>
        </w:rPr>
        <w:t>Росмолодежи</w:t>
      </w:r>
      <w:proofErr w:type="spellEnd"/>
      <w:r w:rsidRPr="00B025B8">
        <w:rPr>
          <w:sz w:val="28"/>
          <w:szCs w:val="28"/>
        </w:rPr>
        <w:t xml:space="preserve">, </w:t>
      </w:r>
      <w:proofErr w:type="spellStart"/>
      <w:r w:rsidRPr="00B025B8">
        <w:rPr>
          <w:sz w:val="28"/>
          <w:szCs w:val="28"/>
        </w:rPr>
        <w:t>Минобрнауки</w:t>
      </w:r>
      <w:proofErr w:type="spellEnd"/>
      <w:r w:rsidRPr="00B025B8">
        <w:rPr>
          <w:sz w:val="28"/>
          <w:szCs w:val="28"/>
        </w:rPr>
        <w:t xml:space="preserve"> России и прошел практически во всех крупных городах России</w:t>
      </w:r>
      <w:r w:rsidR="00B025B8" w:rsidRPr="00B025B8">
        <w:rPr>
          <w:sz w:val="20"/>
          <w:szCs w:val="20"/>
        </w:rPr>
        <w:t>.</w:t>
      </w:r>
    </w:p>
    <w:p w:rsidR="004416DD" w:rsidRPr="00B025B8" w:rsidRDefault="004416DD" w:rsidP="00512D18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Цель фестиваля –популяризация культуры бережливого отношения к природе и демонстрации современных </w:t>
      </w:r>
      <w:proofErr w:type="spellStart"/>
      <w:r w:rsidRPr="00B025B8">
        <w:rPr>
          <w:color w:val="auto"/>
          <w:sz w:val="28"/>
          <w:szCs w:val="28"/>
        </w:rPr>
        <w:t>энергоэффективных</w:t>
      </w:r>
      <w:proofErr w:type="spellEnd"/>
      <w:r w:rsidRPr="00B025B8">
        <w:rPr>
          <w:color w:val="auto"/>
          <w:sz w:val="28"/>
          <w:szCs w:val="28"/>
        </w:rPr>
        <w:t xml:space="preserve"> технологий, используемых в различных секторах экономики. </w:t>
      </w:r>
    </w:p>
    <w:p w:rsidR="004416DD" w:rsidRPr="00B025B8" w:rsidRDefault="00512D18" w:rsidP="004416D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Магаданской области фестиваль проводился в формате различных конкурсов для молодежи, подвижных игр, </w:t>
      </w:r>
      <w:proofErr w:type="spellStart"/>
      <w:r>
        <w:rPr>
          <w:color w:val="auto"/>
          <w:sz w:val="28"/>
          <w:szCs w:val="28"/>
        </w:rPr>
        <w:t>конкурсно</w:t>
      </w:r>
      <w:proofErr w:type="spellEnd"/>
      <w:r>
        <w:rPr>
          <w:color w:val="auto"/>
          <w:sz w:val="28"/>
          <w:szCs w:val="28"/>
        </w:rPr>
        <w:t>-игровых программ для детей и подростков, конкурсы и выставки тематических детских рисунков, раздачи агитационных листовок в пользу энергосбережения.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b/>
          <w:bCs/>
          <w:color w:val="auto"/>
          <w:sz w:val="28"/>
          <w:szCs w:val="28"/>
        </w:rPr>
        <w:t xml:space="preserve">2.2. Отраслевой анализ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b/>
          <w:bCs/>
          <w:color w:val="auto"/>
          <w:sz w:val="28"/>
          <w:szCs w:val="28"/>
        </w:rPr>
        <w:t>2.2.</w:t>
      </w:r>
      <w:r w:rsidR="001D32B0">
        <w:rPr>
          <w:b/>
          <w:bCs/>
          <w:color w:val="auto"/>
          <w:sz w:val="28"/>
          <w:szCs w:val="28"/>
        </w:rPr>
        <w:t>1</w:t>
      </w:r>
      <w:r w:rsidRPr="00B025B8">
        <w:rPr>
          <w:b/>
          <w:bCs/>
          <w:color w:val="auto"/>
          <w:sz w:val="28"/>
          <w:szCs w:val="28"/>
        </w:rPr>
        <w:t xml:space="preserve">. Жилищно-коммунальное хозяйство </w:t>
      </w:r>
    </w:p>
    <w:p w:rsidR="004416DD" w:rsidRPr="00B025B8" w:rsidRDefault="004416DD" w:rsidP="00512D18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В рамках Программы в 201</w:t>
      </w:r>
      <w:r w:rsidR="00512D18">
        <w:rPr>
          <w:color w:val="auto"/>
          <w:sz w:val="28"/>
          <w:szCs w:val="28"/>
        </w:rPr>
        <w:t>7</w:t>
      </w:r>
      <w:r w:rsidRPr="00B025B8">
        <w:rPr>
          <w:color w:val="auto"/>
          <w:sz w:val="28"/>
          <w:szCs w:val="28"/>
        </w:rPr>
        <w:t xml:space="preserve"> году на мероприятия по энергосбережению и повышению энергетической эффективности в жилищном фонде и в системах коммунальной инфраструктуры направлено </w:t>
      </w:r>
      <w:r w:rsidR="001D32B0">
        <w:rPr>
          <w:color w:val="auto"/>
          <w:sz w:val="28"/>
          <w:szCs w:val="28"/>
        </w:rPr>
        <w:t>166,3</w:t>
      </w:r>
      <w:r w:rsidRPr="00B025B8">
        <w:rPr>
          <w:color w:val="auto"/>
          <w:sz w:val="28"/>
          <w:szCs w:val="28"/>
        </w:rPr>
        <w:t xml:space="preserve"> млн. рублей бюджетных средств</w:t>
      </w:r>
      <w:r w:rsidR="001D32B0">
        <w:rPr>
          <w:color w:val="auto"/>
          <w:sz w:val="28"/>
          <w:szCs w:val="28"/>
        </w:rPr>
        <w:t>.</w:t>
      </w:r>
    </w:p>
    <w:p w:rsidR="004416DD" w:rsidRPr="00B025B8" w:rsidRDefault="001D32B0" w:rsidP="004416D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подготовки объектов ТЭК и коммунальной инфраструктуры к началу отопительного сезона 2017 – 2018 гг. выполнены следующие мероприятия: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>1. капитальный ремонт теплов</w:t>
      </w:r>
      <w:r w:rsidR="001D32B0">
        <w:rPr>
          <w:color w:val="auto"/>
          <w:sz w:val="28"/>
          <w:szCs w:val="28"/>
        </w:rPr>
        <w:t>ых</w:t>
      </w:r>
      <w:r w:rsidRPr="00B025B8">
        <w:rPr>
          <w:color w:val="auto"/>
          <w:sz w:val="28"/>
          <w:szCs w:val="28"/>
        </w:rPr>
        <w:t xml:space="preserve"> сет</w:t>
      </w:r>
      <w:r w:rsidR="001D32B0">
        <w:rPr>
          <w:color w:val="auto"/>
          <w:sz w:val="28"/>
          <w:szCs w:val="28"/>
        </w:rPr>
        <w:t>ей</w:t>
      </w:r>
      <w:r w:rsidRPr="00B025B8">
        <w:rPr>
          <w:color w:val="auto"/>
          <w:sz w:val="28"/>
          <w:szCs w:val="28"/>
        </w:rPr>
        <w:t xml:space="preserve"> (</w:t>
      </w:r>
      <w:r w:rsidR="001D32B0">
        <w:rPr>
          <w:color w:val="auto"/>
          <w:sz w:val="28"/>
          <w:szCs w:val="28"/>
        </w:rPr>
        <w:t>23,6 км</w:t>
      </w:r>
      <w:r w:rsidRPr="00B025B8">
        <w:rPr>
          <w:color w:val="auto"/>
          <w:sz w:val="28"/>
          <w:szCs w:val="28"/>
        </w:rPr>
        <w:t xml:space="preserve"> в </w:t>
      </w:r>
      <w:r w:rsidR="001D32B0">
        <w:rPr>
          <w:color w:val="auto"/>
          <w:sz w:val="28"/>
          <w:szCs w:val="28"/>
        </w:rPr>
        <w:t>двухтрубном</w:t>
      </w:r>
      <w:r w:rsidRPr="00B025B8">
        <w:rPr>
          <w:color w:val="auto"/>
          <w:sz w:val="28"/>
          <w:szCs w:val="28"/>
        </w:rPr>
        <w:t xml:space="preserve"> исчислении).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2. </w:t>
      </w:r>
      <w:r w:rsidR="001D32B0">
        <w:rPr>
          <w:color w:val="auto"/>
          <w:sz w:val="28"/>
          <w:szCs w:val="28"/>
        </w:rPr>
        <w:t>капитальный ремонт 2 водозаборов на территории городских округов Магаданской области</w:t>
      </w:r>
      <w:r w:rsidRPr="00B025B8">
        <w:rPr>
          <w:color w:val="auto"/>
          <w:sz w:val="28"/>
          <w:szCs w:val="28"/>
        </w:rPr>
        <w:t xml:space="preserve">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3. </w:t>
      </w:r>
      <w:r w:rsidR="001D32B0">
        <w:rPr>
          <w:color w:val="auto"/>
          <w:sz w:val="28"/>
          <w:szCs w:val="28"/>
        </w:rPr>
        <w:t>капитальный ремонт водопроводных сетей (22,93 км)</w:t>
      </w:r>
      <w:r w:rsidRPr="00B025B8">
        <w:rPr>
          <w:color w:val="auto"/>
          <w:sz w:val="28"/>
          <w:szCs w:val="28"/>
        </w:rPr>
        <w:t xml:space="preserve">. </w:t>
      </w:r>
    </w:p>
    <w:p w:rsidR="004416DD" w:rsidRPr="00B025B8" w:rsidRDefault="004416DD" w:rsidP="001D32B0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color w:val="auto"/>
          <w:sz w:val="28"/>
          <w:szCs w:val="28"/>
        </w:rPr>
        <w:t xml:space="preserve">4. </w:t>
      </w:r>
      <w:r w:rsidR="001D32B0">
        <w:rPr>
          <w:color w:val="auto"/>
          <w:sz w:val="28"/>
          <w:szCs w:val="28"/>
        </w:rPr>
        <w:t>капитальный ремонт электрических сетей (8,12 км)</w:t>
      </w:r>
      <w:r w:rsidRPr="00B025B8">
        <w:rPr>
          <w:color w:val="auto"/>
          <w:sz w:val="28"/>
          <w:szCs w:val="28"/>
        </w:rPr>
        <w:t xml:space="preserve">. </w:t>
      </w:r>
    </w:p>
    <w:p w:rsidR="004416DD" w:rsidRPr="00B025B8" w:rsidRDefault="004416DD" w:rsidP="004416DD">
      <w:pPr>
        <w:pStyle w:val="Default"/>
        <w:jc w:val="both"/>
        <w:rPr>
          <w:color w:val="auto"/>
          <w:sz w:val="28"/>
          <w:szCs w:val="28"/>
        </w:rPr>
      </w:pPr>
      <w:r w:rsidRPr="00B025B8">
        <w:rPr>
          <w:b/>
          <w:bCs/>
          <w:color w:val="auto"/>
          <w:sz w:val="28"/>
          <w:szCs w:val="28"/>
        </w:rPr>
        <w:t>2.2.</w:t>
      </w:r>
      <w:r w:rsidR="001D32B0">
        <w:rPr>
          <w:b/>
          <w:bCs/>
          <w:color w:val="auto"/>
          <w:sz w:val="28"/>
          <w:szCs w:val="28"/>
        </w:rPr>
        <w:t>2</w:t>
      </w:r>
      <w:r w:rsidRPr="00B025B8">
        <w:rPr>
          <w:b/>
          <w:bCs/>
          <w:color w:val="auto"/>
          <w:sz w:val="28"/>
          <w:szCs w:val="28"/>
        </w:rPr>
        <w:t xml:space="preserve">. Производство и распределение электроэнергии и воды </w:t>
      </w:r>
    </w:p>
    <w:p w:rsidR="001D32B0" w:rsidRPr="00C00FEF" w:rsidRDefault="001D32B0" w:rsidP="001D32B0">
      <w:pPr>
        <w:keepNext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Производство электроэнергии осуществляется предприятиями </w:t>
      </w:r>
      <w:r w:rsidR="008F00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</w:t>
      </w:r>
      <w:r w:rsidRPr="00C00F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ПАО «Магаданэнерго» и ПАО «Колымаэнерго» (электростанции общего пользования) и тепловыми электростанциями при других организациях. </w:t>
      </w:r>
    </w:p>
    <w:p w:rsidR="001D32B0" w:rsidRPr="00C00FEF" w:rsidRDefault="001D32B0" w:rsidP="001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Генерирующие мощности Магаданской энергосистемы включают в себя:</w:t>
      </w:r>
    </w:p>
    <w:p w:rsidR="001D32B0" w:rsidRPr="00C00FEF" w:rsidRDefault="001D32B0" w:rsidP="001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тепловые электростанции - </w:t>
      </w:r>
      <w:proofErr w:type="spellStart"/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Аркагалинская</w:t>
      </w:r>
      <w:proofErr w:type="spellEnd"/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ГРЭС  (</w:t>
      </w:r>
      <w:proofErr w:type="spellStart"/>
      <w:proofErr w:type="gramEnd"/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АрГРЭС</w:t>
      </w:r>
      <w:proofErr w:type="spellEnd"/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Магаданская ТЭЦ (МТЭЦ) с установленной электрической мощностью 224 МВт и 75 МВт (с ДЭС – 96 МВт), соответственно, при этом в выработке электроэнергии </w:t>
      </w:r>
      <w:proofErr w:type="spellStart"/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Аркагалинской</w:t>
      </w:r>
      <w:proofErr w:type="spellEnd"/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ГРЭС в настоящее время участвует оборудование мощностью 47 МВт;</w:t>
      </w:r>
    </w:p>
    <w:p w:rsidR="001D32B0" w:rsidRPr="00C00FEF" w:rsidRDefault="001D32B0" w:rsidP="001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гидроэлектростанции (каскад Колымских ГЭС) – Колымская ГЭС (КГЭС) и Усть-Среднеканская ГЭС с установленной мощностью 900 МВт и 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</w:t>
      </w:r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МВт (два ГА на временных колесах 2х84 МВт), соответственно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32B0" w:rsidRPr="00C00FEF" w:rsidRDefault="001D32B0" w:rsidP="001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Кроме того, автономно от энергосистемы действуют 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дизельные электростанции (ДЭС населенных пунктов) Северо-Эвенского городского округа, установленной мощностью 10,5 МВт, дизельные электростанции поселков Талая, Атка Хасынского городского округа (5,0 МВт), пос. </w:t>
      </w:r>
      <w:proofErr w:type="spellStart"/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Мадаун</w:t>
      </w:r>
      <w:proofErr w:type="spellEnd"/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Тенькинского городского округа (1,2 МВт), сел Тахтоямск, </w:t>
      </w:r>
      <w:proofErr w:type="spellStart"/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Ямск</w:t>
      </w:r>
      <w:proofErr w:type="spellEnd"/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Ольского городского округа (2,2 МВт).</w:t>
      </w:r>
    </w:p>
    <w:p w:rsidR="001D32B0" w:rsidRDefault="001D32B0" w:rsidP="001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1 января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0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уставленная мощность объектов генерации Магаданской энергосистемы (без ДЭС населенных пунктов) составляет 1388 МВт, располагаемая мощность составляет 1087 МВт,</w:t>
      </w:r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потребность региона</w:t>
      </w:r>
      <w:r w:rsidRPr="00C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электроэнергии в полном объеме</w:t>
      </w:r>
      <w:r w:rsidRPr="00C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покрывается каскадом Колымских ГЭС.</w:t>
      </w:r>
    </w:p>
    <w:p w:rsidR="008F0065" w:rsidRPr="00C00FEF" w:rsidRDefault="008F0065" w:rsidP="001D3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инвестиционных программ ПАО «Магаданэнерго» и ПАО «Колымаэнерго» предусмотрены мероприятия на энергосбережение и повышение энергетической эффективности, а также на подготовку объектов энергетики к осенне-зимнему периоду.</w:t>
      </w:r>
    </w:p>
    <w:p w:rsidR="004416DD" w:rsidRPr="00B025B8" w:rsidRDefault="004416DD" w:rsidP="001D32B0">
      <w:pPr>
        <w:pStyle w:val="Default"/>
        <w:jc w:val="both"/>
        <w:rPr>
          <w:color w:val="auto"/>
          <w:sz w:val="28"/>
          <w:szCs w:val="28"/>
        </w:rPr>
      </w:pPr>
    </w:p>
    <w:sectPr w:rsidR="004416DD" w:rsidRPr="00B0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A280"/>
    <w:multiLevelType w:val="hybridMultilevel"/>
    <w:tmpl w:val="247AE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915A46"/>
    <w:multiLevelType w:val="hybridMultilevel"/>
    <w:tmpl w:val="42482B2C"/>
    <w:lvl w:ilvl="0" w:tplc="FE4894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19"/>
    <w:rsid w:val="000207CD"/>
    <w:rsid w:val="00160F60"/>
    <w:rsid w:val="001D32B0"/>
    <w:rsid w:val="004416DD"/>
    <w:rsid w:val="00512D18"/>
    <w:rsid w:val="0088260D"/>
    <w:rsid w:val="008F0065"/>
    <w:rsid w:val="009A2B19"/>
    <w:rsid w:val="00B025B8"/>
    <w:rsid w:val="00C23ADF"/>
    <w:rsid w:val="00F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0883-BB89-472A-A1EA-3EE1F735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19"/>
    <w:rsid w:val="000207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9">
    <w:name w:val="Основной текст119"/>
    <w:basedOn w:val="a"/>
    <w:link w:val="a3"/>
    <w:rsid w:val="000207CD"/>
    <w:pPr>
      <w:shd w:val="clear" w:color="auto" w:fill="FFFFFF"/>
      <w:spacing w:after="540" w:line="278" w:lineRule="exact"/>
      <w:ind w:hanging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Дмитрий Викторович</dc:creator>
  <cp:keywords/>
  <dc:description/>
  <cp:lastModifiedBy>Старков Дмитрий Викторович</cp:lastModifiedBy>
  <cp:revision>4</cp:revision>
  <dcterms:created xsi:type="dcterms:W3CDTF">2018-06-20T00:56:00Z</dcterms:created>
  <dcterms:modified xsi:type="dcterms:W3CDTF">2018-06-21T22:06:00Z</dcterms:modified>
</cp:coreProperties>
</file>