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D362D4">
        <w:rPr>
          <w:sz w:val="20"/>
        </w:rPr>
        <w:t>4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7455C5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05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7455C5">
        <w:rPr>
          <w:b/>
        </w:rPr>
        <w:t>03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28</w:t>
      </w:r>
      <w:r w:rsidRPr="00820748">
        <w:rPr>
          <w:b/>
        </w:rPr>
        <w:t xml:space="preserve"> </w:t>
      </w:r>
      <w:r w:rsidR="007455C5">
        <w:rPr>
          <w:b/>
        </w:rPr>
        <w:t>ИЮЛЯ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7455C5">
        <w:rPr>
          <w:b/>
        </w:rPr>
        <w:t>31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2B740C" w:rsidRPr="00B25DAB" w:rsidRDefault="002B740C" w:rsidP="002B740C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>ЛОТ №</w:t>
      </w:r>
      <w:r w:rsidR="00A844D6">
        <w:rPr>
          <w:b/>
          <w:u w:val="single"/>
        </w:rPr>
        <w:t xml:space="preserve"> </w:t>
      </w:r>
      <w:r w:rsidRPr="00351049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030704:1086</w:t>
      </w:r>
      <w:r w:rsidRPr="00B25DAB">
        <w:rPr>
          <w:b/>
        </w:rPr>
        <w:t xml:space="preserve"> площадью </w:t>
      </w:r>
      <w:r>
        <w:rPr>
          <w:b/>
        </w:rPr>
        <w:t xml:space="preserve">319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Пролетарской, 108. </w:t>
      </w:r>
      <w:r w:rsidRPr="00B25DAB">
        <w:rPr>
          <w:b/>
        </w:rPr>
        <w:t xml:space="preserve"> </w:t>
      </w:r>
    </w:p>
    <w:p w:rsidR="002B740C" w:rsidRPr="00B25DAB" w:rsidRDefault="002B740C" w:rsidP="002B740C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04.06.2020</w:t>
      </w:r>
      <w:r w:rsidRPr="00B25DAB">
        <w:t xml:space="preserve"> </w:t>
      </w:r>
      <w:r w:rsidR="00886B7D">
        <w:t xml:space="preserve">         </w:t>
      </w:r>
      <w:r w:rsidRPr="00B25DAB">
        <w:t>№</w:t>
      </w:r>
      <w:r>
        <w:t xml:space="preserve"> 205-р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в районе улицы Пролетарской, 108».</w:t>
      </w:r>
    </w:p>
    <w:p w:rsidR="002B740C" w:rsidRPr="00B80197" w:rsidRDefault="002B740C" w:rsidP="002B740C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616"/>
      </w:tblGrid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  <w:jc w:val="both"/>
            </w:pPr>
            <w:r>
              <w:t>49:09:030704:1086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административно делового, общественного и коммерческого назначения ОДЗ 201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2B740C" w:rsidRPr="009979EE" w:rsidRDefault="002B740C" w:rsidP="00FA642B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Пролетарской, 108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  <w:jc w:val="both"/>
            </w:pPr>
            <w:r>
              <w:t>319 кв. м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2B740C" w:rsidRPr="00B25DAB" w:rsidTr="00FA642B">
        <w:trPr>
          <w:trHeight w:val="466"/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2B740C" w:rsidP="00FA642B">
            <w:pPr>
              <w:suppressAutoHyphens/>
              <w:spacing w:line="240" w:lineRule="auto"/>
              <w:jc w:val="both"/>
            </w:pPr>
            <w:r>
              <w:t>49:09:030704:91 под зданием склада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2B740C" w:rsidRPr="00B25DAB" w:rsidTr="00FA642B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2B740C" w:rsidRPr="00B80197" w:rsidRDefault="002B740C" w:rsidP="00FA642B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2B740C" w:rsidRPr="00B25DAB" w:rsidRDefault="002B740C" w:rsidP="00FA642B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616" w:type="dxa"/>
            <w:shd w:val="clear" w:color="auto" w:fill="auto"/>
          </w:tcPr>
          <w:p w:rsidR="002B740C" w:rsidRDefault="002B740C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2B740C" w:rsidRPr="00B25DAB" w:rsidRDefault="002B740C" w:rsidP="00FA642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10 этажей. Максимальный процент застройки в границах земельного участка - 80%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16" w:type="dxa"/>
            <w:shd w:val="clear" w:color="auto" w:fill="auto"/>
          </w:tcPr>
          <w:p w:rsidR="002B740C" w:rsidRPr="00603805" w:rsidRDefault="002B740C" w:rsidP="00FA642B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21</w:t>
            </w:r>
            <w:r w:rsidRPr="00D43BB8">
              <w:t>.</w:t>
            </w:r>
            <w:r>
              <w:t>08</w:t>
            </w:r>
            <w:r w:rsidRPr="00D43BB8">
              <w:t>.20</w:t>
            </w:r>
            <w:r>
              <w:t>19</w:t>
            </w:r>
            <w:r w:rsidRPr="00D43BB8">
              <w:t xml:space="preserve"> № 08-</w:t>
            </w:r>
            <w:r>
              <w:t>1931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Теплоснабжение объекта капитального </w:t>
            </w:r>
            <w:proofErr w:type="gramStart"/>
            <w:r w:rsidRPr="00603805">
              <w:t>строительства</w:t>
            </w:r>
            <w:proofErr w:type="gramEnd"/>
            <w:r w:rsidRPr="00603805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2B740C" w:rsidRPr="00603805" w:rsidRDefault="002B740C" w:rsidP="00FA642B">
            <w:pPr>
              <w:spacing w:line="240" w:lineRule="auto"/>
              <w:jc w:val="both"/>
            </w:pPr>
            <w:r w:rsidRPr="00603805">
              <w:t xml:space="preserve">Водоснабжение и канализация (письмо МУП г. Магадана «Водоканал» от </w:t>
            </w:r>
            <w:r>
              <w:t>23</w:t>
            </w:r>
            <w:r w:rsidRPr="00603805">
              <w:t>.</w:t>
            </w:r>
            <w:r>
              <w:t>08</w:t>
            </w:r>
            <w:r w:rsidRPr="00603805">
              <w:t xml:space="preserve">.2019 № </w:t>
            </w:r>
            <w:r>
              <w:t>5446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ТВК-2333. Максимальное разрешенное водопотребление на хозяйственные, питьевые нужды – 1,5 куб. м в сутки. Канализация: место присоединения к канализации, находящейся в хозяйственном ведении МУП г. Магадана «Водоканал» - КК-6345. Максимально разрешенный сброс в точке подключения – 1,5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</w:t>
            </w:r>
            <w:r>
              <w:lastRenderedPageBreak/>
              <w:t xml:space="preserve">Правительства Российской Федерации  от 29.07.2013 № 644, в централизованные системы водоснабжения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16" w:type="dxa"/>
            <w:shd w:val="clear" w:color="auto" w:fill="auto"/>
          </w:tcPr>
          <w:p w:rsidR="002B740C" w:rsidRPr="00603805" w:rsidRDefault="002B740C" w:rsidP="00FA642B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2B740C" w:rsidRPr="00B25DAB" w:rsidTr="00FA642B">
        <w:trPr>
          <w:jc w:val="center"/>
        </w:trPr>
        <w:tc>
          <w:tcPr>
            <w:tcW w:w="3642" w:type="dxa"/>
            <w:shd w:val="clear" w:color="auto" w:fill="auto"/>
          </w:tcPr>
          <w:p w:rsidR="002B740C" w:rsidRPr="00B25DAB" w:rsidRDefault="002B740C" w:rsidP="00FA642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16" w:type="dxa"/>
            <w:shd w:val="clear" w:color="auto" w:fill="auto"/>
          </w:tcPr>
          <w:p w:rsidR="002B740C" w:rsidRPr="00B25DAB" w:rsidRDefault="00332458" w:rsidP="00FA642B">
            <w:pPr>
              <w:autoSpaceDE w:val="0"/>
              <w:autoSpaceDN w:val="0"/>
              <w:spacing w:line="240" w:lineRule="auto"/>
              <w:jc w:val="both"/>
            </w:pPr>
            <w:r>
              <w:t xml:space="preserve">Информация </w:t>
            </w:r>
            <w:r w:rsidR="002B740C">
              <w:t>отсутствует</w:t>
            </w:r>
          </w:p>
        </w:tc>
      </w:tr>
    </w:tbl>
    <w:p w:rsidR="002B740C" w:rsidRPr="00B80197" w:rsidRDefault="002B740C" w:rsidP="002B740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>37 000</w:t>
      </w:r>
      <w:r w:rsidRPr="00B80197">
        <w:t xml:space="preserve"> (</w:t>
      </w:r>
      <w:r>
        <w:t>тридцать семь тысяч</w:t>
      </w:r>
      <w:r w:rsidRPr="00B80197">
        <w:t xml:space="preserve">) рублей 00 копеек (НДС не облагается). </w:t>
      </w:r>
    </w:p>
    <w:p w:rsidR="002B740C" w:rsidRPr="00B80197" w:rsidRDefault="002B740C" w:rsidP="002B740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1 000</w:t>
      </w:r>
      <w:r w:rsidRPr="00B80197">
        <w:t xml:space="preserve"> (</w:t>
      </w:r>
      <w:r>
        <w:t>одна тысяча</w:t>
      </w:r>
      <w:r w:rsidRPr="00B80197">
        <w:t xml:space="preserve">) рублей 00 копеек. </w:t>
      </w:r>
    </w:p>
    <w:p w:rsidR="002B740C" w:rsidRPr="00B80197" w:rsidRDefault="002B740C" w:rsidP="002B740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>
        <w:t>37 000</w:t>
      </w:r>
      <w:r w:rsidRPr="00B80197">
        <w:t xml:space="preserve"> (</w:t>
      </w:r>
      <w:r>
        <w:t>тридцать семь тысяч</w:t>
      </w:r>
      <w:r w:rsidRPr="00B80197">
        <w:t xml:space="preserve">) рублей 00 копеек. </w:t>
      </w:r>
    </w:p>
    <w:p w:rsidR="002B740C" w:rsidRDefault="002B740C" w:rsidP="00886B7D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886B7D" w:rsidRDefault="00886B7D" w:rsidP="00886B7D">
      <w:pPr>
        <w:autoSpaceDE w:val="0"/>
        <w:autoSpaceDN w:val="0"/>
        <w:spacing w:line="240" w:lineRule="auto"/>
        <w:ind w:firstLine="567"/>
        <w:jc w:val="both"/>
      </w:pPr>
    </w:p>
    <w:p w:rsidR="008B296B" w:rsidRDefault="008B296B" w:rsidP="008B296B">
      <w:pPr>
        <w:spacing w:line="240" w:lineRule="auto"/>
        <w:ind w:firstLine="567"/>
        <w:jc w:val="both"/>
      </w:pPr>
      <w:bookmarkStart w:id="0" w:name="_GoBack"/>
      <w:bookmarkEnd w:id="0"/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1D40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ED28-4686-46BF-9524-C08AF425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2020-07-01T22:42:00Z</dcterms:created>
  <dcterms:modified xsi:type="dcterms:W3CDTF">2020-07-01T22:42:00Z</dcterms:modified>
</cp:coreProperties>
</file>