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492C31" w:rsidP="00FE261E">
      <w:pPr>
        <w:jc w:val="center"/>
        <w:rPr>
          <w:b/>
        </w:rPr>
      </w:pPr>
      <w:r>
        <w:rPr>
          <w:b/>
        </w:rPr>
        <w:t xml:space="preserve"> </w:t>
      </w:r>
      <w:r w:rsidR="00BC3A14"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BB0CF2">
        <w:rPr>
          <w:b/>
        </w:rPr>
        <w:t>706</w:t>
      </w:r>
      <w:r w:rsidR="007817AB">
        <w:rPr>
          <w:b/>
        </w:rPr>
        <w:t xml:space="preserve"> </w:t>
      </w:r>
      <w:r w:rsidR="004218D9">
        <w:rPr>
          <w:b/>
        </w:rPr>
        <w:t xml:space="preserve"> 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3085"/>
        <w:gridCol w:w="6804"/>
      </w:tblGrid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206491">
        <w:tc>
          <w:tcPr>
            <w:tcW w:w="3085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804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F77477" w:rsidTr="00D74DCC">
        <w:tc>
          <w:tcPr>
            <w:tcW w:w="3085" w:type="dxa"/>
            <w:vAlign w:val="center"/>
          </w:tcPr>
          <w:p w:rsidR="00F43F78" w:rsidRPr="00F77477" w:rsidRDefault="00310EF9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</w:t>
            </w:r>
            <w:r w:rsidR="00F43F78" w:rsidRPr="00F77477">
              <w:t>орма проведения продажи муниципального имущества</w:t>
            </w:r>
          </w:p>
        </w:tc>
        <w:tc>
          <w:tcPr>
            <w:tcW w:w="6804" w:type="dxa"/>
            <w:vAlign w:val="center"/>
          </w:tcPr>
          <w:p w:rsidR="00F43F78" w:rsidRPr="00FF6D90" w:rsidRDefault="00310EF9" w:rsidP="00310EF9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>ПРОДАЖА ПОСРЕДСТВОМ ПУБЛИЧНОГО ПРЕДЛОЖЕНИЯ В ЭЛЕКТРОННОЙ ФОРМЕ</w:t>
            </w:r>
          </w:p>
        </w:tc>
      </w:tr>
      <w:tr w:rsidR="00F43F78" w:rsidRPr="005D324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Pr="005D324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3D7A36" w:rsidP="003D7A3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04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сентября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 w:rsidRPr="00AB358D">
              <w:rPr>
                <w:b/>
              </w:rPr>
              <w:t xml:space="preserve"> г</w:t>
            </w:r>
            <w:r w:rsidR="00F43F78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804" w:type="dxa"/>
            <w:vAlign w:val="center"/>
          </w:tcPr>
          <w:p w:rsidR="00F43F78" w:rsidRDefault="003D7A36" w:rsidP="003D7A3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02</w:t>
            </w:r>
            <w:r w:rsidR="00ED2E20">
              <w:rPr>
                <w:b/>
              </w:rPr>
              <w:t xml:space="preserve"> </w:t>
            </w:r>
            <w:r>
              <w:rPr>
                <w:b/>
              </w:rPr>
              <w:t>окт</w:t>
            </w:r>
            <w:r w:rsidR="00ED2E20">
              <w:rPr>
                <w:b/>
              </w:rPr>
              <w:t>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>
              <w:t xml:space="preserve"> </w:t>
            </w:r>
            <w:r w:rsidR="00F43F78" w:rsidRPr="00AB358D">
              <w:rPr>
                <w:b/>
              </w:rPr>
              <w:t>г.</w:t>
            </w:r>
            <w:r w:rsidR="00F43F78">
              <w:t xml:space="preserve"> в 17.00 по магаданскому времени (09.00 по московскому времени).  </w:t>
            </w:r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804" w:type="dxa"/>
            <w:vAlign w:val="center"/>
          </w:tcPr>
          <w:p w:rsidR="00F43F78" w:rsidRPr="00227D8C" w:rsidRDefault="003D7A36" w:rsidP="003D7A3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05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ок</w:t>
            </w:r>
            <w:r w:rsidR="00ED2E20">
              <w:rPr>
                <w:b/>
              </w:rPr>
              <w:t xml:space="preserve">тября </w:t>
            </w:r>
            <w:r w:rsidR="00F43F78" w:rsidRPr="00CD7D40">
              <w:rPr>
                <w:b/>
              </w:rPr>
              <w:t>20</w:t>
            </w:r>
            <w:r w:rsidR="00AB358D">
              <w:rPr>
                <w:b/>
              </w:rPr>
              <w:t>20</w:t>
            </w:r>
            <w:r w:rsidR="00F43F78" w:rsidRPr="00227D8C">
              <w:t xml:space="preserve"> </w:t>
            </w:r>
            <w:r w:rsidR="00F43F78" w:rsidRPr="00AB358D">
              <w:rPr>
                <w:b/>
              </w:rPr>
              <w:t>г.</w:t>
            </w:r>
            <w:r w:rsidR="00F43F78" w:rsidRPr="00227D8C">
              <w:t xml:space="preserve">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804" w:type="dxa"/>
            <w:vAlign w:val="center"/>
          </w:tcPr>
          <w:p w:rsidR="00F43F7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227D8C" w:rsidTr="00D74DCC">
        <w:tc>
          <w:tcPr>
            <w:tcW w:w="3085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804" w:type="dxa"/>
            <w:vAlign w:val="center"/>
          </w:tcPr>
          <w:p w:rsidR="00F43F78" w:rsidRPr="00227D8C" w:rsidRDefault="003D7A36" w:rsidP="003D7A3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06</w:t>
            </w:r>
            <w:r w:rsidR="00ED2E20">
              <w:rPr>
                <w:b/>
              </w:rPr>
              <w:t xml:space="preserve"> </w:t>
            </w:r>
            <w:r>
              <w:rPr>
                <w:b/>
              </w:rPr>
              <w:t>ок</w:t>
            </w:r>
            <w:r w:rsidR="00ED2E20">
              <w:rPr>
                <w:b/>
              </w:rPr>
              <w:t>тября</w:t>
            </w:r>
            <w:r w:rsidR="00F43F78" w:rsidRPr="00227D8C">
              <w:rPr>
                <w:b/>
              </w:rPr>
              <w:t xml:space="preserve"> 20</w:t>
            </w:r>
            <w:r w:rsidR="000A05B9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DC511C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DC511C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677C79" w:rsidRPr="002B0F38" w:rsidTr="005C51C0">
        <w:tc>
          <w:tcPr>
            <w:tcW w:w="9889" w:type="dxa"/>
            <w:gridSpan w:val="2"/>
            <w:shd w:val="clear" w:color="auto" w:fill="FFC000"/>
            <w:vAlign w:val="center"/>
          </w:tcPr>
          <w:p w:rsidR="00677C79" w:rsidRPr="002B0F38" w:rsidRDefault="00677C79" w:rsidP="0004277B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bookmarkStart w:id="0" w:name="_GoBack"/>
            <w:bookmarkEnd w:id="0"/>
            <w:r w:rsidRPr="002B0F38">
              <w:rPr>
                <w:b/>
              </w:rPr>
              <w:t xml:space="preserve">ЛОТ № </w:t>
            </w:r>
            <w:r w:rsidR="0004277B">
              <w:rPr>
                <w:b/>
              </w:rPr>
              <w:t>3</w:t>
            </w:r>
          </w:p>
        </w:tc>
      </w:tr>
      <w:tr w:rsidR="00677C79" w:rsidRPr="00BE017C" w:rsidTr="005C51C0">
        <w:tc>
          <w:tcPr>
            <w:tcW w:w="3085" w:type="dxa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 w:rsidRPr="008F3105">
              <w:t>Наименование, характеристика и обременения выставляемого на продажу имущества:</w:t>
            </w:r>
          </w:p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804" w:type="dxa"/>
          </w:tcPr>
          <w:p w:rsidR="00677C79" w:rsidRDefault="00677C79" w:rsidP="005C51C0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О</w:t>
            </w:r>
            <w:r w:rsidRPr="00E71B93">
              <w:t xml:space="preserve">бъект электросетевого хозяйства (сооружение электроэнергетики): КЛ-10 </w:t>
            </w:r>
            <w:proofErr w:type="spellStart"/>
            <w:r w:rsidRPr="00E71B93">
              <w:t>кВ</w:t>
            </w:r>
            <w:proofErr w:type="spellEnd"/>
            <w:r w:rsidRPr="00E71B93">
              <w:t xml:space="preserve"> ф. 10 </w:t>
            </w:r>
            <w:proofErr w:type="spellStart"/>
            <w:r w:rsidRPr="00E71B93">
              <w:t>кВ</w:t>
            </w:r>
            <w:proofErr w:type="spellEnd"/>
            <w:r w:rsidRPr="00E71B93">
              <w:t xml:space="preserve"> «ПС Сокол (РТП) – ТП 11Б» (ф. ТП-11Б) с кадастровым номером 49:09:000000:8544, протяженностью 1288 метров, расположенный по адресу: Магаданская область, город Магадан, посёлок Сокол.</w:t>
            </w:r>
          </w:p>
          <w:p w:rsidR="00677C79" w:rsidRDefault="00677C79" w:rsidP="005C51C0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</w:t>
            </w:r>
            <w:proofErr w:type="gramStart"/>
            <w:r>
              <w:t>Обременение эксплуатационными обязательствами: собственник приобретенного в порядке приватизации объекта электросетевого хозяйства обязан поставлять потребителям и абонентам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и абонентами услуг по передаче электрической энергии за исключением случаев, если прекращение или приостановление предоставления указанных услуг предусмотрено нормативными правовыми актами Российской</w:t>
            </w:r>
            <w:proofErr w:type="gramEnd"/>
            <w:r>
              <w:t xml:space="preserve"> Федерации.</w:t>
            </w:r>
          </w:p>
          <w:p w:rsidR="00677C79" w:rsidRDefault="00677C79" w:rsidP="005C51C0">
            <w:pPr>
              <w:tabs>
                <w:tab w:val="left" w:pos="142"/>
                <w:tab w:val="left" w:pos="540"/>
              </w:tabs>
              <w:jc w:val="both"/>
            </w:pPr>
            <w:r>
              <w:t xml:space="preserve">         Максимальный период прекращения поставок услуг по передаче электрической энергии, </w:t>
            </w:r>
            <w:proofErr w:type="gramStart"/>
            <w:r>
              <w:t>превышение</w:t>
            </w:r>
            <w:proofErr w:type="gramEnd"/>
            <w:r>
              <w:t xml:space="preserve"> которого является существенным нарушением эксплуатационных обязательств, определяется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№ 861. </w:t>
            </w:r>
          </w:p>
          <w:p w:rsidR="00677C79" w:rsidRPr="00BE017C" w:rsidRDefault="00677C79" w:rsidP="00557DB8">
            <w:pPr>
              <w:autoSpaceDE w:val="0"/>
              <w:autoSpaceDN w:val="0"/>
              <w:adjustRightInd w:val="0"/>
              <w:jc w:val="both"/>
            </w:pPr>
            <w:r>
              <w:t xml:space="preserve">          Победителем продажи дополнительно возмещаются расходы по оценке рыночной стоимости указанного имущества в размере </w:t>
            </w:r>
            <w:r w:rsidR="00557DB8">
              <w:t>1491</w:t>
            </w:r>
            <w:r>
              <w:t xml:space="preserve"> руб.</w:t>
            </w:r>
          </w:p>
        </w:tc>
      </w:tr>
      <w:tr w:rsidR="00677C79" w:rsidRPr="00575AA1" w:rsidTr="005C51C0">
        <w:tc>
          <w:tcPr>
            <w:tcW w:w="3085" w:type="dxa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804" w:type="dxa"/>
          </w:tcPr>
          <w:p w:rsidR="00677C79" w:rsidRPr="00575AA1" w:rsidRDefault="00677C79" w:rsidP="00557DB8">
            <w:pPr>
              <w:tabs>
                <w:tab w:val="left" w:pos="142"/>
                <w:tab w:val="left" w:pos="540"/>
              </w:tabs>
              <w:jc w:val="both"/>
            </w:pPr>
            <w:r w:rsidRPr="00575AA1">
              <w:t xml:space="preserve">Прогнозный план приватизации муниципального имущества на 2020 год, постановление мэрии города Магадана от </w:t>
            </w:r>
            <w:r w:rsidR="00557DB8">
              <w:t>17</w:t>
            </w:r>
            <w:r w:rsidRPr="00575AA1">
              <w:t xml:space="preserve"> </w:t>
            </w:r>
            <w:r w:rsidR="00557DB8">
              <w:t>августа</w:t>
            </w:r>
            <w:r w:rsidRPr="00575AA1">
              <w:t xml:space="preserve"> 2020 г. № </w:t>
            </w:r>
            <w:r w:rsidR="00557DB8">
              <w:t>2251</w:t>
            </w:r>
            <w:r w:rsidRPr="00575AA1">
              <w:t xml:space="preserve"> «Об условиях приватизации муниципального имущества»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Цена первоначального предложения:</w:t>
            </w:r>
          </w:p>
        </w:tc>
        <w:tc>
          <w:tcPr>
            <w:tcW w:w="6804" w:type="dxa"/>
            <w:vAlign w:val="center"/>
          </w:tcPr>
          <w:p w:rsidR="00677C79" w:rsidRDefault="00557DB8" w:rsidP="00557DB8">
            <w:pPr>
              <w:tabs>
                <w:tab w:val="left" w:pos="142"/>
                <w:tab w:val="left" w:pos="540"/>
              </w:tabs>
            </w:pPr>
            <w:r>
              <w:t>20</w:t>
            </w:r>
            <w:r w:rsidR="00677C79">
              <w:t> 000 (</w:t>
            </w:r>
            <w:r>
              <w:t>двадцать</w:t>
            </w:r>
            <w:r w:rsidR="00677C79">
              <w:t xml:space="preserve"> тысяч) рублей 00 копеек (в том числе НДС)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Цена минимального предложения:</w:t>
            </w:r>
          </w:p>
        </w:tc>
        <w:tc>
          <w:tcPr>
            <w:tcW w:w="6804" w:type="dxa"/>
          </w:tcPr>
          <w:p w:rsidR="00677C79" w:rsidRDefault="00557DB8" w:rsidP="00557DB8">
            <w:pPr>
              <w:tabs>
                <w:tab w:val="left" w:pos="142"/>
                <w:tab w:val="left" w:pos="540"/>
              </w:tabs>
            </w:pPr>
            <w:r>
              <w:t>10</w:t>
            </w:r>
            <w:r w:rsidR="00677C79">
              <w:t> 000 (</w:t>
            </w:r>
            <w:r>
              <w:t xml:space="preserve">десять </w:t>
            </w:r>
            <w:r w:rsidR="00677C79">
              <w:t>тысяч) рублей 00 копеек (в том числе НДС)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Шаг понижения:</w:t>
            </w:r>
          </w:p>
        </w:tc>
        <w:tc>
          <w:tcPr>
            <w:tcW w:w="6804" w:type="dxa"/>
          </w:tcPr>
          <w:p w:rsidR="00677C79" w:rsidRDefault="00677C79" w:rsidP="00557DB8">
            <w:pPr>
              <w:tabs>
                <w:tab w:val="left" w:pos="142"/>
                <w:tab w:val="left" w:pos="540"/>
              </w:tabs>
            </w:pPr>
            <w:r>
              <w:t>2 </w:t>
            </w:r>
            <w:r w:rsidR="00557DB8">
              <w:t>0</w:t>
            </w:r>
            <w:r>
              <w:t>00 (</w:t>
            </w:r>
            <w:r w:rsidR="00557DB8">
              <w:t>две тысячи</w:t>
            </w:r>
            <w:r>
              <w:t>) рублей 00 копеек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804" w:type="dxa"/>
          </w:tcPr>
          <w:p w:rsidR="00677C79" w:rsidRDefault="00677C79" w:rsidP="00557DB8">
            <w:pPr>
              <w:tabs>
                <w:tab w:val="left" w:pos="142"/>
                <w:tab w:val="left" w:pos="540"/>
              </w:tabs>
            </w:pPr>
            <w:r>
              <w:t>1 </w:t>
            </w:r>
            <w:r w:rsidR="00557DB8">
              <w:t>0</w:t>
            </w:r>
            <w:r>
              <w:t>00 (</w:t>
            </w:r>
            <w:r w:rsidR="00557DB8">
              <w:t xml:space="preserve">одна тысяча) </w:t>
            </w:r>
            <w:r>
              <w:t xml:space="preserve"> рублей 00 копеек</w:t>
            </w:r>
          </w:p>
        </w:tc>
      </w:tr>
      <w:tr w:rsidR="00677C79" w:rsidTr="005C51C0">
        <w:tc>
          <w:tcPr>
            <w:tcW w:w="3085" w:type="dxa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804" w:type="dxa"/>
          </w:tcPr>
          <w:p w:rsidR="00677C79" w:rsidRDefault="00677C79" w:rsidP="00557DB8">
            <w:pPr>
              <w:tabs>
                <w:tab w:val="left" w:pos="142"/>
                <w:tab w:val="left" w:pos="540"/>
              </w:tabs>
            </w:pPr>
            <w:r>
              <w:t>4 </w:t>
            </w:r>
            <w:r w:rsidR="00557DB8">
              <w:t>0</w:t>
            </w:r>
            <w:r>
              <w:t>00 (</w:t>
            </w:r>
            <w:r w:rsidR="00557DB8">
              <w:t xml:space="preserve">четыре </w:t>
            </w:r>
            <w:r>
              <w:t>тысячи) рублей 00 копеек</w:t>
            </w:r>
          </w:p>
        </w:tc>
      </w:tr>
      <w:tr w:rsidR="00677C79" w:rsidTr="005C51C0">
        <w:tc>
          <w:tcPr>
            <w:tcW w:w="3085" w:type="dxa"/>
          </w:tcPr>
          <w:p w:rsidR="00677C79" w:rsidRDefault="00677C79" w:rsidP="005C51C0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804" w:type="dxa"/>
            <w:vAlign w:val="center"/>
          </w:tcPr>
          <w:p w:rsidR="00677C79" w:rsidRDefault="00677C79" w:rsidP="005C51C0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677C79" w:rsidTr="005C51C0">
        <w:tc>
          <w:tcPr>
            <w:tcW w:w="3085" w:type="dxa"/>
            <w:vAlign w:val="center"/>
          </w:tcPr>
          <w:p w:rsidR="00677C79" w:rsidRDefault="00677C79" w:rsidP="000672E7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Сведения о предыдущих продажах имущества, </w:t>
            </w:r>
            <w:r>
              <w:lastRenderedPageBreak/>
              <w:t>объявленных в течение года, предшествующего его продаже</w:t>
            </w:r>
          </w:p>
        </w:tc>
        <w:tc>
          <w:tcPr>
            <w:tcW w:w="6804" w:type="dxa"/>
            <w:vAlign w:val="center"/>
          </w:tcPr>
          <w:p w:rsidR="00677C79" w:rsidRDefault="00677C79" w:rsidP="0004277B">
            <w:pPr>
              <w:tabs>
                <w:tab w:val="left" w:pos="142"/>
              </w:tabs>
              <w:ind w:right="118"/>
            </w:pPr>
            <w:r>
              <w:lastRenderedPageBreak/>
              <w:t>Аукцион, назначенный на 13 февраля 2020 г., признан несостоявшимся в связи с отсутствием заявок. Продаж</w:t>
            </w:r>
            <w:r w:rsidR="0004277B">
              <w:t>и</w:t>
            </w:r>
            <w:r>
              <w:t xml:space="preserve"> посредством публичного </w:t>
            </w:r>
            <w:r>
              <w:lastRenderedPageBreak/>
              <w:t>предложения, назначенн</w:t>
            </w:r>
            <w:r w:rsidR="0004277B">
              <w:t>ые</w:t>
            </w:r>
            <w:r>
              <w:t xml:space="preserve"> на 06 апреля 2020 г., </w:t>
            </w:r>
            <w:r w:rsidR="0004277B">
              <w:t xml:space="preserve">15 мая 2020 г., </w:t>
            </w:r>
            <w:r>
              <w:t>признан</w:t>
            </w:r>
            <w:r w:rsidR="0004277B">
              <w:t>ы</w:t>
            </w:r>
            <w:r>
              <w:t xml:space="preserve"> несостоявш</w:t>
            </w:r>
            <w:r w:rsidR="0004277B">
              <w:t>ими</w:t>
            </w:r>
            <w:r>
              <w:t>ся в связи с отсутствием заявок.</w:t>
            </w:r>
            <w:r w:rsidR="0004277B">
              <w:t xml:space="preserve"> Аукцион, назначенный на 12 августа 2020 г., признан несостоявшимся в связи с отсутствием заявок.</w:t>
            </w:r>
          </w:p>
        </w:tc>
      </w:tr>
    </w:tbl>
    <w:p w:rsidR="00F43F78" w:rsidRPr="00F43F78" w:rsidRDefault="00F43F78" w:rsidP="00F43F78">
      <w:pPr>
        <w:rPr>
          <w:b/>
        </w:rPr>
      </w:pPr>
    </w:p>
    <w:p w:rsidR="00557DB8" w:rsidRDefault="00557DB8" w:rsidP="00302754">
      <w:pPr>
        <w:jc w:val="center"/>
        <w:rPr>
          <w:b/>
        </w:rPr>
      </w:pPr>
    </w:p>
    <w:p w:rsidR="00FE261E" w:rsidRPr="0078412D" w:rsidRDefault="00FE261E" w:rsidP="00302754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</w:t>
      </w:r>
      <w:r w:rsidR="00EA031A">
        <w:t xml:space="preserve">ле «Имущество» на сайте </w:t>
      </w:r>
      <w:r w:rsidRPr="007A498A">
        <w:t xml:space="preserve">www.rts-tender.ru.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lastRenderedPageBreak/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26394F">
        <w:t xml:space="preserve">Гарантийное обеспечение перечисляется </w:t>
      </w:r>
      <w:r>
        <w:t>п</w:t>
      </w:r>
      <w:r w:rsidRPr="0026394F">
        <w:t xml:space="preserve">ретендентом на следующие реквизиты </w:t>
      </w:r>
      <w:r>
        <w:t>организатора продажи</w:t>
      </w:r>
      <w:r w:rsidRPr="0026394F">
        <w:t>:</w:t>
      </w:r>
      <w:r>
        <w:t xml:space="preserve"> </w:t>
      </w:r>
      <w:r w:rsidRPr="0026394F">
        <w:t>Получатель: ООО «РТС-тендер»</w:t>
      </w:r>
      <w:r>
        <w:t xml:space="preserve">, </w:t>
      </w:r>
      <w:r w:rsidRPr="0026394F">
        <w:t>ИНН: 7710357167, КПП: 773001001</w:t>
      </w:r>
      <w:r>
        <w:t>, б</w:t>
      </w:r>
      <w:r w:rsidRPr="0026394F">
        <w:t>анк получателя: М</w:t>
      </w:r>
      <w:r>
        <w:t>осковский филиал П</w:t>
      </w:r>
      <w:r w:rsidRPr="0026394F">
        <w:t xml:space="preserve">АО «СОВКОМБАНК» </w:t>
      </w:r>
      <w:r>
        <w:t>г</w:t>
      </w:r>
      <w:r w:rsidRPr="0026394F">
        <w:t>. М</w:t>
      </w:r>
      <w:r>
        <w:t>осква, р</w:t>
      </w:r>
      <w:r w:rsidRPr="0026394F">
        <w:t>асчетный счет: 40702810600005001156</w:t>
      </w:r>
      <w:r>
        <w:t>, к</w:t>
      </w:r>
      <w:r w:rsidRPr="0026394F">
        <w:t>орреспондентский счет: 30101810945250000967</w:t>
      </w:r>
      <w:r>
        <w:t xml:space="preserve">, </w:t>
      </w:r>
      <w:r w:rsidRPr="0026394F">
        <w:t>БИК: 044525967</w:t>
      </w:r>
      <w:r>
        <w:t xml:space="preserve">. </w:t>
      </w:r>
      <w:r w:rsidRPr="0026394F">
        <w:t xml:space="preserve">Назначение платежа: Внесение гарантийного обеспечения по </w:t>
      </w:r>
      <w:r>
        <w:t>с</w:t>
      </w:r>
      <w:r w:rsidRPr="0026394F">
        <w:t>оглашению о внесении гарантийного обеспечения, № аналитического счета _________, без НДС</w:t>
      </w:r>
      <w:r>
        <w:t>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 xml:space="preserve">на официальном </w:t>
      </w:r>
      <w:r w:rsidRPr="000F6729">
        <w:lastRenderedPageBreak/>
        <w:t>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lastRenderedPageBreak/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 xml:space="preserve"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</w:t>
      </w:r>
      <w:r w:rsidRPr="00A05FF8">
        <w:lastRenderedPageBreak/>
        <w:t>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2138"/>
    <w:rsid w:val="00015E76"/>
    <w:rsid w:val="00020A7B"/>
    <w:rsid w:val="0004277B"/>
    <w:rsid w:val="000672E7"/>
    <w:rsid w:val="0007098F"/>
    <w:rsid w:val="00082159"/>
    <w:rsid w:val="000A05B9"/>
    <w:rsid w:val="000A32FF"/>
    <w:rsid w:val="000D0B4E"/>
    <w:rsid w:val="00130E93"/>
    <w:rsid w:val="0014417E"/>
    <w:rsid w:val="00153030"/>
    <w:rsid w:val="0017081F"/>
    <w:rsid w:val="001A0F77"/>
    <w:rsid w:val="001A5A79"/>
    <w:rsid w:val="001B3E74"/>
    <w:rsid w:val="001C3192"/>
    <w:rsid w:val="001D417A"/>
    <w:rsid w:val="001D5D4B"/>
    <w:rsid w:val="00202A58"/>
    <w:rsid w:val="00206491"/>
    <w:rsid w:val="00216496"/>
    <w:rsid w:val="00227D8C"/>
    <w:rsid w:val="00294590"/>
    <w:rsid w:val="002B0F38"/>
    <w:rsid w:val="002D42FE"/>
    <w:rsid w:val="002E72A0"/>
    <w:rsid w:val="002F1472"/>
    <w:rsid w:val="002F2F42"/>
    <w:rsid w:val="00302754"/>
    <w:rsid w:val="00306CF4"/>
    <w:rsid w:val="00310EF9"/>
    <w:rsid w:val="00371A98"/>
    <w:rsid w:val="00372CF8"/>
    <w:rsid w:val="0038555A"/>
    <w:rsid w:val="003B1B2D"/>
    <w:rsid w:val="003B381A"/>
    <w:rsid w:val="003B388E"/>
    <w:rsid w:val="003D5EAE"/>
    <w:rsid w:val="003D6DBA"/>
    <w:rsid w:val="003D7A36"/>
    <w:rsid w:val="003E64E8"/>
    <w:rsid w:val="00416977"/>
    <w:rsid w:val="004218D9"/>
    <w:rsid w:val="004228DB"/>
    <w:rsid w:val="00430076"/>
    <w:rsid w:val="004315A5"/>
    <w:rsid w:val="00432CEC"/>
    <w:rsid w:val="0044083D"/>
    <w:rsid w:val="00484044"/>
    <w:rsid w:val="00491F78"/>
    <w:rsid w:val="00492C31"/>
    <w:rsid w:val="004F0D99"/>
    <w:rsid w:val="00557DB8"/>
    <w:rsid w:val="00592248"/>
    <w:rsid w:val="005B0434"/>
    <w:rsid w:val="005B3C16"/>
    <w:rsid w:val="005B437A"/>
    <w:rsid w:val="005B5577"/>
    <w:rsid w:val="005C4E6B"/>
    <w:rsid w:val="005D0866"/>
    <w:rsid w:val="005E01A2"/>
    <w:rsid w:val="005F05D9"/>
    <w:rsid w:val="005F26CF"/>
    <w:rsid w:val="0060519B"/>
    <w:rsid w:val="00614EA0"/>
    <w:rsid w:val="00676AB8"/>
    <w:rsid w:val="00677C79"/>
    <w:rsid w:val="00685A0C"/>
    <w:rsid w:val="00704C30"/>
    <w:rsid w:val="007817AB"/>
    <w:rsid w:val="007C65E2"/>
    <w:rsid w:val="007D0F06"/>
    <w:rsid w:val="007E142A"/>
    <w:rsid w:val="008746DE"/>
    <w:rsid w:val="008929EB"/>
    <w:rsid w:val="00893361"/>
    <w:rsid w:val="008972F6"/>
    <w:rsid w:val="008A1913"/>
    <w:rsid w:val="008B5D0C"/>
    <w:rsid w:val="008F285F"/>
    <w:rsid w:val="00901E3C"/>
    <w:rsid w:val="00905E83"/>
    <w:rsid w:val="00910F0F"/>
    <w:rsid w:val="00913FAD"/>
    <w:rsid w:val="009242D1"/>
    <w:rsid w:val="0094352F"/>
    <w:rsid w:val="00974B95"/>
    <w:rsid w:val="009A4ED1"/>
    <w:rsid w:val="009A68EA"/>
    <w:rsid w:val="009F64FE"/>
    <w:rsid w:val="00A415E4"/>
    <w:rsid w:val="00A45608"/>
    <w:rsid w:val="00AA009C"/>
    <w:rsid w:val="00AB358D"/>
    <w:rsid w:val="00AB426E"/>
    <w:rsid w:val="00AF489A"/>
    <w:rsid w:val="00B13012"/>
    <w:rsid w:val="00B22DCC"/>
    <w:rsid w:val="00B46436"/>
    <w:rsid w:val="00B8374B"/>
    <w:rsid w:val="00BA3606"/>
    <w:rsid w:val="00BB0CF2"/>
    <w:rsid w:val="00BC3A14"/>
    <w:rsid w:val="00BD47EE"/>
    <w:rsid w:val="00BF6CEB"/>
    <w:rsid w:val="00C0265A"/>
    <w:rsid w:val="00C02954"/>
    <w:rsid w:val="00C41D93"/>
    <w:rsid w:val="00C853C1"/>
    <w:rsid w:val="00CD5412"/>
    <w:rsid w:val="00CD6083"/>
    <w:rsid w:val="00CD7D40"/>
    <w:rsid w:val="00CF21BF"/>
    <w:rsid w:val="00D333AF"/>
    <w:rsid w:val="00D577EA"/>
    <w:rsid w:val="00D73245"/>
    <w:rsid w:val="00DB506B"/>
    <w:rsid w:val="00DC511C"/>
    <w:rsid w:val="00E0299B"/>
    <w:rsid w:val="00E4266D"/>
    <w:rsid w:val="00E63071"/>
    <w:rsid w:val="00EA031A"/>
    <w:rsid w:val="00ED2E20"/>
    <w:rsid w:val="00F301D2"/>
    <w:rsid w:val="00F339BC"/>
    <w:rsid w:val="00F43F78"/>
    <w:rsid w:val="00F542A3"/>
    <w:rsid w:val="00F668F8"/>
    <w:rsid w:val="00F9503D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5865</Words>
  <Characters>33436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2020-08-27T05:45:00Z</cp:lastPrinted>
  <dcterms:created xsi:type="dcterms:W3CDTF">2020-08-30T22:21:00Z</dcterms:created>
  <dcterms:modified xsi:type="dcterms:W3CDTF">2020-08-30T22:21:00Z</dcterms:modified>
</cp:coreProperties>
</file>