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031003:394 </w:t>
      </w:r>
      <w:r w:rsidRPr="00B25DAB">
        <w:rPr>
          <w:b/>
        </w:rPr>
        <w:t xml:space="preserve"> площадью </w:t>
      </w:r>
      <w:r>
        <w:rPr>
          <w:b/>
        </w:rPr>
        <w:t xml:space="preserve">1346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Продольной. </w:t>
      </w:r>
      <w:r w:rsidRPr="00B25DAB">
        <w:rPr>
          <w:b/>
        </w:rPr>
        <w:t xml:space="preserve"> </w:t>
      </w: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8654BC">
        <w:t>17 декабря 2019 г.</w:t>
      </w:r>
      <w:r>
        <w:t xml:space="preserve"> </w:t>
      </w:r>
      <w:r w:rsidRPr="00B25DAB">
        <w:t xml:space="preserve"> № </w:t>
      </w:r>
      <w:r w:rsidR="008654BC">
        <w:t xml:space="preserve">346-р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Продольной»</w:t>
      </w:r>
      <w:r w:rsidR="008654BC">
        <w:t>.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83"/>
      </w:tblGrid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49:09:031003:394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9979EE" w:rsidRDefault="00B84F3B" w:rsidP="00E63D0A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Продольная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8654BC">
            <w:pPr>
              <w:autoSpaceDE w:val="0"/>
              <w:autoSpaceDN w:val="0"/>
              <w:spacing w:line="240" w:lineRule="auto"/>
              <w:jc w:val="both"/>
            </w:pPr>
            <w:r>
              <w:t>1346 кв. м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84F3B" w:rsidRPr="00B25DAB" w:rsidTr="008654BC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B84F3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10267" w:type="dxa"/>
            <w:gridSpan w:val="2"/>
            <w:shd w:val="clear" w:color="auto" w:fill="auto"/>
          </w:tcPr>
          <w:p w:rsidR="00B84F3B" w:rsidRPr="00B80197" w:rsidRDefault="00B84F3B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м, минимальный процент озеленения – 30.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>: этажность не более 3 этажей, максимальный процент застройки – 70, отступ от красной линии - не менее 5м, минимальный процент озеленения - 20.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B84F3B" w:rsidRPr="00B25DA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E63D0A">
            <w:pPr>
              <w:spacing w:line="240" w:lineRule="auto"/>
              <w:jc w:val="both"/>
            </w:pPr>
            <w:r w:rsidRPr="008654BC"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10.2019 № 08-2558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данный участок не внесен в схему теплоснабжения</w:t>
            </w:r>
            <w:r w:rsidR="008654BC">
              <w:t xml:space="preserve"> муниципального образования «Город Магадан»</w:t>
            </w:r>
            <w:r>
              <w:t>.</w:t>
            </w:r>
          </w:p>
          <w:p w:rsidR="00B84F3B" w:rsidRPr="006322C8" w:rsidRDefault="00B84F3B" w:rsidP="008654BC">
            <w:pPr>
              <w:spacing w:line="240" w:lineRule="auto"/>
              <w:jc w:val="both"/>
            </w:pPr>
            <w:r w:rsidRPr="008654BC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30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№ </w:t>
            </w:r>
            <w:r>
              <w:t>6722</w:t>
            </w:r>
            <w:r w:rsidRPr="00B80197">
              <w:t xml:space="preserve">): Водопровод: место присоединения к </w:t>
            </w:r>
            <w:r w:rsidRPr="00B80197">
              <w:lastRenderedPageBreak/>
              <w:t>водопроводу, находящемуся в хозяйственном ведении МУП г.</w:t>
            </w:r>
            <w:r>
              <w:t xml:space="preserve"> Магадана «Водоканал» - ТВК - 210., максимальное разрешенное водопотребление на хоз</w:t>
            </w:r>
            <w:r w:rsidR="008654BC">
              <w:t xml:space="preserve">. </w:t>
            </w:r>
            <w:r>
              <w:t xml:space="preserve">питьевые нужды – 1,5 куб. м в сутки. Канализация: место присоединения к канализации,  находящейся в хозяйственном ведении МУП г. Магадана «Водоканал» - КК-5391, максимальный сброс – 1,5 куб. м в сутки. </w:t>
            </w:r>
            <w:r w:rsidR="008654BC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8654B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 (НДС не облагается).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06E2A">
        <w:t>4500</w:t>
      </w:r>
      <w:r w:rsidRPr="00B80197">
        <w:t xml:space="preserve"> (</w:t>
      </w:r>
      <w:r w:rsidR="00906E2A">
        <w:t>четыре тысячи пятьсот</w:t>
      </w:r>
      <w:r w:rsidRPr="00B80197">
        <w:t xml:space="preserve">) рублей 00 копеек.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копеек. </w:t>
      </w:r>
    </w:p>
    <w:p w:rsidR="00B84F3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40EC2" w:rsidRDefault="00740EC2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041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0988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970B-8357-4F96-B1C5-B1A27F52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2020-03-02T06:13:00Z</dcterms:created>
  <dcterms:modified xsi:type="dcterms:W3CDTF">2020-03-02T06:14:00Z</dcterms:modified>
</cp:coreProperties>
</file>