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7472FC">
        <w:rPr>
          <w:b/>
          <w:sz w:val="22"/>
          <w:szCs w:val="22"/>
          <w:u w:val="single"/>
        </w:rPr>
        <w:t>12</w:t>
      </w:r>
      <w:r w:rsidR="00EC6619">
        <w:rPr>
          <w:b/>
          <w:sz w:val="22"/>
          <w:szCs w:val="22"/>
          <w:u w:val="single"/>
        </w:rPr>
        <w:t xml:space="preserve"> </w:t>
      </w:r>
      <w:r w:rsidR="007472FC">
        <w:rPr>
          <w:b/>
          <w:sz w:val="22"/>
          <w:szCs w:val="22"/>
          <w:u w:val="single"/>
        </w:rPr>
        <w:t>ФЕВРАЛЯ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472FC">
        <w:rPr>
          <w:b/>
        </w:rPr>
        <w:t>10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472FC">
        <w:rPr>
          <w:b/>
        </w:rPr>
        <w:t xml:space="preserve"> 04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7472FC">
        <w:rPr>
          <w:b/>
        </w:rPr>
        <w:t>07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6E5323" w:rsidRPr="00B25DAB" w:rsidRDefault="006E5323" w:rsidP="006E5323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030714:290 </w:t>
      </w:r>
      <w:r w:rsidRPr="00B25DAB">
        <w:rPr>
          <w:b/>
        </w:rPr>
        <w:t xml:space="preserve">площадью </w:t>
      </w:r>
      <w:r>
        <w:rPr>
          <w:b/>
        </w:rPr>
        <w:t>3890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Первомайской. </w:t>
      </w:r>
      <w:r w:rsidRPr="00B25DAB">
        <w:rPr>
          <w:b/>
        </w:rPr>
        <w:t xml:space="preserve"> </w:t>
      </w:r>
    </w:p>
    <w:p w:rsidR="006E5323" w:rsidRPr="00B25DAB" w:rsidRDefault="006E5323" w:rsidP="006E532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16 декабря 2019 г. </w:t>
      </w:r>
      <w:r w:rsidRPr="00B25DAB">
        <w:t xml:space="preserve"> № </w:t>
      </w:r>
      <w:r>
        <w:t>541-р</w:t>
      </w:r>
      <w:r w:rsidRPr="00B25DAB">
        <w:t xml:space="preserve"> «О проведении аукциона на право заключения договора аренды земе</w:t>
      </w:r>
      <w:r>
        <w:t>льного участка в городе Магадане по улице Первомайской».</w:t>
      </w:r>
    </w:p>
    <w:p w:rsidR="006E5323" w:rsidRPr="00B25DAB" w:rsidRDefault="006E5323" w:rsidP="006E532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1036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804"/>
      </w:tblGrid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>
              <w:t>49:09:030714:290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04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ПР301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6E5323" w:rsidRPr="009979EE" w:rsidRDefault="006E5323" w:rsidP="00133528">
            <w:pPr>
              <w:autoSpaceDE w:val="0"/>
              <w:autoSpaceDN w:val="0"/>
              <w:spacing w:line="240" w:lineRule="auto"/>
            </w:pPr>
            <w:r>
              <w:t>Коммунальное обслуживание, пищевая промышленность, строительная промышленность, хранение и переработка сельскохозяйственной продукции, специальная деятельность, обслуживание автотранспорта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по улице Первомайской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>
              <w:t>3890 кв. м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04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E5323" w:rsidRPr="00B25DAB" w:rsidTr="00C0710E">
        <w:trPr>
          <w:trHeight w:val="498"/>
          <w:jc w:val="center"/>
        </w:trPr>
        <w:tc>
          <w:tcPr>
            <w:tcW w:w="3559" w:type="dxa"/>
            <w:shd w:val="clear" w:color="auto" w:fill="auto"/>
          </w:tcPr>
          <w:p w:rsidR="006E5323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04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E5323" w:rsidRPr="00B25DAB" w:rsidTr="00C0710E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6E5323" w:rsidRPr="00AB4902" w:rsidRDefault="006E5323" w:rsidP="00133528">
            <w:pPr>
              <w:autoSpaceDE w:val="0"/>
              <w:autoSpaceDN w:val="0"/>
              <w:spacing w:line="240" w:lineRule="auto"/>
              <w:jc w:val="center"/>
            </w:pPr>
            <w:r w:rsidRPr="00AB4902">
              <w:t xml:space="preserve">Для земельных участков, в соответствии с видом разрешенного использования которых, </w:t>
            </w:r>
          </w:p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center"/>
            </w:pPr>
            <w:r w:rsidRPr="00AB4902">
              <w:t>предусмотрено строительство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</w:t>
            </w:r>
            <w:r>
              <w:t>ов</w:t>
            </w:r>
            <w:r w:rsidRPr="00B25DAB">
              <w:t xml:space="preserve"> капитального строительства</w:t>
            </w:r>
          </w:p>
        </w:tc>
        <w:tc>
          <w:tcPr>
            <w:tcW w:w="6804" w:type="dxa"/>
            <w:shd w:val="clear" w:color="auto" w:fill="auto"/>
          </w:tcPr>
          <w:p w:rsidR="006E5323" w:rsidRDefault="006E5323" w:rsidP="001335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</w:t>
            </w:r>
          </w:p>
          <w:p w:rsidR="006E5323" w:rsidRDefault="006E5323" w:rsidP="001335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Пищевая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6E5323" w:rsidRDefault="006E5323" w:rsidP="001335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Строительная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6E5323" w:rsidRDefault="006E5323" w:rsidP="001335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Хранение и переработка сельскохозяйственной продукции: этажность не более этажей 3 этажей; максимальный процент застройки – 80; отступ от красной линии - по границам красных линий; минимальный процент озеленения – 20.</w:t>
            </w:r>
          </w:p>
          <w:p w:rsidR="006E5323" w:rsidRDefault="006E5323" w:rsidP="001335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Специальная деятельность: этажность - не подлежит установлению; размеры земельных участков - не менее 500 кв. м; минимальные отступы от границ земельного участка - не подлежат установлению.</w:t>
            </w:r>
          </w:p>
          <w:p w:rsidR="006E5323" w:rsidRPr="00B25DAB" w:rsidRDefault="006E5323" w:rsidP="001335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открытые площадки с твердым покрытием (асфальтовое, бетонное либо иное покрытие подобного типа)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04" w:type="dxa"/>
            <w:shd w:val="clear" w:color="auto" w:fill="auto"/>
          </w:tcPr>
          <w:p w:rsidR="006E5323" w:rsidRDefault="006E5323" w:rsidP="00133528">
            <w:pPr>
              <w:spacing w:line="240" w:lineRule="auto"/>
              <w:jc w:val="both"/>
            </w:pPr>
            <w:r w:rsidRPr="00033510">
              <w:t>Теплоснабжение (</w:t>
            </w:r>
            <w:r w:rsidRPr="00207C1F">
              <w:t xml:space="preserve">письмо МУП г. Магадана «Магадантеплосеть» от </w:t>
            </w:r>
            <w:r>
              <w:t>11</w:t>
            </w:r>
            <w:r w:rsidRPr="00207C1F">
              <w:t>.</w:t>
            </w:r>
            <w:r>
              <w:t>11</w:t>
            </w:r>
            <w:r w:rsidRPr="00207C1F">
              <w:t>.2019 № 08-</w:t>
            </w:r>
            <w:r>
              <w:t>2673</w:t>
            </w:r>
            <w:r w:rsidRPr="00207C1F">
              <w:t>):</w:t>
            </w:r>
            <w:r>
              <w:t xml:space="preserve"> подключение к тепловым сетям  объекта капитального строительства не представляется возможным в связи с тем, что земельный участок не входит в эффективный радиус теплоснабжения МУП г. Магадана «Магадантеплосеть» согласно схеме теплоснабжения МО «Город Магадан». 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6E5323" w:rsidRDefault="006E5323" w:rsidP="00133528">
            <w:pPr>
              <w:spacing w:line="240" w:lineRule="auto"/>
              <w:jc w:val="both"/>
            </w:pPr>
            <w:r w:rsidRPr="004C4480">
              <w:t>Водоснабжение и канализация</w:t>
            </w:r>
            <w:r w:rsidRPr="00207C1F">
              <w:t xml:space="preserve"> (письмо МУП г. Магадана «Водоканал» от </w:t>
            </w:r>
            <w:r>
              <w:t>01.11.2019</w:t>
            </w:r>
            <w:r w:rsidRPr="00207C1F">
              <w:t xml:space="preserve"> № </w:t>
            </w:r>
            <w:r>
              <w:t>6832</w:t>
            </w:r>
            <w:r w:rsidRPr="00207C1F">
              <w:t>): Водопровод: место</w:t>
            </w:r>
            <w:r>
              <w:t xml:space="preserve"> присоединения к водопроводу, </w:t>
            </w:r>
            <w:r>
              <w:lastRenderedPageBreak/>
              <w:t xml:space="preserve">находящемуся в хозяйственном ведении МУП г. Магадана «Водоканал» - ВК-0540, максимальное разрешенное водопотребление на хоз. – питьевые нужды– 1,5 куб. м  в сутки. Ориентировочная протяженность линий подключения -780 м. Канализация: место присоединения к канализации,  находящейся в хозяйственном ведении МУП г. Магадана «Водоканал» - КК-7739, разрешенный сброс – 1,5 куб. м в сутки. Сброс веществ, материалов, отходов и сточных вод, указанных в приложении №4 к Правилам холодного водоснабжения и водоотведения, утвержденных Постановлением Правительства Российской Федерации от 29.07.2013 № 644, запрещен к сбросу в централизованные системы водоотведения. </w:t>
            </w:r>
          </w:p>
          <w:p w:rsidR="006E5323" w:rsidRPr="002C2986" w:rsidRDefault="006E5323" w:rsidP="00133528">
            <w:pPr>
              <w:spacing w:line="240" w:lineRule="auto"/>
              <w:jc w:val="both"/>
            </w:pPr>
            <w:r>
              <w:t>Ориентировочная протяженность линий подключения – 1700 м.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04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</w:t>
            </w:r>
            <w:r w:rsidRPr="00496641">
              <w:t xml:space="preserve"> </w:t>
            </w:r>
            <w:r>
              <w:t>3 года</w:t>
            </w:r>
          </w:p>
        </w:tc>
      </w:tr>
      <w:tr w:rsidR="006E5323" w:rsidRPr="00B25DAB" w:rsidTr="00C0710E">
        <w:trPr>
          <w:jc w:val="center"/>
        </w:trPr>
        <w:tc>
          <w:tcPr>
            <w:tcW w:w="3559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04" w:type="dxa"/>
            <w:shd w:val="clear" w:color="auto" w:fill="auto"/>
          </w:tcPr>
          <w:p w:rsidR="006E5323" w:rsidRPr="00B25DAB" w:rsidRDefault="006E5323" w:rsidP="00133528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Отсутствует </w:t>
            </w:r>
          </w:p>
        </w:tc>
      </w:tr>
    </w:tbl>
    <w:p w:rsidR="006E5323" w:rsidRPr="005818EE" w:rsidRDefault="006E5323" w:rsidP="006E5323">
      <w:pPr>
        <w:autoSpaceDE w:val="0"/>
        <w:autoSpaceDN w:val="0"/>
        <w:spacing w:line="240" w:lineRule="auto"/>
        <w:ind w:firstLine="567"/>
        <w:jc w:val="both"/>
      </w:pPr>
      <w:r w:rsidRPr="005818EE">
        <w:t xml:space="preserve">Начальный размер годовой арендной платы:  </w:t>
      </w:r>
      <w:r>
        <w:t xml:space="preserve">305000 </w:t>
      </w:r>
      <w:r w:rsidRPr="005818EE">
        <w:t>(</w:t>
      </w:r>
      <w:r>
        <w:t>триста пять тысяч</w:t>
      </w:r>
      <w:r w:rsidRPr="005818EE">
        <w:t xml:space="preserve">) рублей 00 копеек (НДС не облагается). </w:t>
      </w:r>
    </w:p>
    <w:p w:rsidR="006E5323" w:rsidRPr="005818EE" w:rsidRDefault="006E5323" w:rsidP="006E5323">
      <w:pPr>
        <w:autoSpaceDE w:val="0"/>
        <w:autoSpaceDN w:val="0"/>
        <w:spacing w:line="240" w:lineRule="auto"/>
        <w:ind w:firstLine="567"/>
        <w:jc w:val="both"/>
      </w:pPr>
      <w:r w:rsidRPr="005818EE">
        <w:t xml:space="preserve">Шаг аукциона: </w:t>
      </w:r>
      <w:r>
        <w:t>9000</w:t>
      </w:r>
      <w:r w:rsidRPr="005818EE">
        <w:t xml:space="preserve"> (</w:t>
      </w:r>
      <w:r>
        <w:t>девять тысяч</w:t>
      </w:r>
      <w:r w:rsidRPr="005818EE">
        <w:t xml:space="preserve">) рублей 00 копеек. </w:t>
      </w:r>
    </w:p>
    <w:p w:rsidR="006E5323" w:rsidRPr="005818EE" w:rsidRDefault="006E5323" w:rsidP="006E5323">
      <w:pPr>
        <w:autoSpaceDE w:val="0"/>
        <w:autoSpaceDN w:val="0"/>
        <w:spacing w:line="240" w:lineRule="auto"/>
        <w:ind w:firstLine="567"/>
        <w:jc w:val="both"/>
      </w:pPr>
      <w:r w:rsidRPr="005818EE">
        <w:t xml:space="preserve">Задаток:  </w:t>
      </w:r>
      <w:r>
        <w:t xml:space="preserve">305000 </w:t>
      </w:r>
      <w:r w:rsidRPr="005818EE">
        <w:t>(</w:t>
      </w:r>
      <w:r>
        <w:t>триста пять тысяч</w:t>
      </w:r>
      <w:r w:rsidRPr="005818EE">
        <w:t xml:space="preserve">) рублей 00 копеек. </w:t>
      </w:r>
    </w:p>
    <w:p w:rsidR="006E5323" w:rsidRPr="005818EE" w:rsidRDefault="006E5323" w:rsidP="006E5323">
      <w:pPr>
        <w:autoSpaceDE w:val="0"/>
        <w:autoSpaceDN w:val="0"/>
        <w:spacing w:line="240" w:lineRule="auto"/>
        <w:ind w:firstLine="567"/>
        <w:jc w:val="both"/>
      </w:pPr>
      <w:r w:rsidRPr="005818EE">
        <w:t xml:space="preserve">Срок аренды земельного участка: </w:t>
      </w:r>
      <w:r>
        <w:t>54</w:t>
      </w:r>
      <w:r w:rsidRPr="005818EE">
        <w:t xml:space="preserve"> месяц</w:t>
      </w:r>
      <w:r>
        <w:t>а</w:t>
      </w:r>
      <w:r w:rsidRPr="005818EE">
        <w:t>.</w:t>
      </w:r>
    </w:p>
    <w:p w:rsidR="009628CE" w:rsidRPr="00B25DAB" w:rsidRDefault="009628CE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2D26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8FF6-447C-4B51-9DEF-FD7A1F79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7</cp:revision>
  <cp:lastPrinted>2019-12-24T05:47:00Z</cp:lastPrinted>
  <dcterms:created xsi:type="dcterms:W3CDTF">2019-12-22T22:25:00Z</dcterms:created>
  <dcterms:modified xsi:type="dcterms:W3CDTF">2019-12-24T05:53:00Z</dcterms:modified>
</cp:coreProperties>
</file>