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8E1E8C" w:rsidRDefault="00424FAA" w:rsidP="006D66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8A1F3D">
        <w:rPr>
          <w:b/>
        </w:rPr>
        <w:t xml:space="preserve">Право на заключение договора аренды земельного участка </w:t>
      </w:r>
      <w:r w:rsidR="00AD1C61">
        <w:rPr>
          <w:b/>
        </w:rPr>
        <w:t xml:space="preserve">(земли населенных пунктов) для строительства с кадастровым номером 49:09:030915:458 площадью 1068 кв. м, расположенного </w:t>
      </w:r>
      <w:proofErr w:type="gramStart"/>
      <w:r w:rsidR="00AD1C61">
        <w:rPr>
          <w:b/>
        </w:rPr>
        <w:t>с</w:t>
      </w:r>
      <w:proofErr w:type="gramEnd"/>
      <w:r w:rsidR="00AD1C61">
        <w:rPr>
          <w:b/>
        </w:rPr>
        <w:t xml:space="preserve"> городе Магадане, по улице Пролетарской.</w:t>
      </w:r>
    </w:p>
    <w:p w:rsidR="00AD1C61" w:rsidRPr="00B25DAB" w:rsidRDefault="00AD1C61" w:rsidP="00AD1C6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22 июля 2019 г. </w:t>
      </w:r>
      <w:r w:rsidRPr="00B25DAB">
        <w:t xml:space="preserve"> № </w:t>
      </w:r>
      <w:r>
        <w:t xml:space="preserve">249-р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улице Пролетарской»</w:t>
      </w:r>
    </w:p>
    <w:p w:rsidR="00AD1C61" w:rsidRPr="00B80197" w:rsidRDefault="00AD1C61" w:rsidP="00AD1C6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237"/>
      </w:tblGrid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>
              <w:t>49:09:030915:458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D1C61" w:rsidRPr="009979EE" w:rsidRDefault="00AD1C61" w:rsidP="00C93C37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Пролетарская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>
              <w:t>1068 кв. м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D1C61" w:rsidRPr="00B25DAB" w:rsidTr="00AD1C61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AD1C61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D1C61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Отсутствуют.</w:t>
            </w:r>
          </w:p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земельном участке находится объект (сооружение), информация о государственной регистрации отсутствует. 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EE65B9">
              <w:t>Земельный участок расположен в границах зон с особыми усло</w:t>
            </w:r>
            <w:r>
              <w:t>виями использования территории: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- с кадастровым номером 49.09.2.107 и</w:t>
            </w:r>
            <w:r w:rsidRPr="00EE65B9">
              <w:t xml:space="preserve"> наименованием «Прибрежная з</w:t>
            </w:r>
            <w:r>
              <w:t xml:space="preserve">ащитная полоса реки </w:t>
            </w:r>
            <w:proofErr w:type="spellStart"/>
            <w:r>
              <w:t>Магаданка</w:t>
            </w:r>
            <w:proofErr w:type="spellEnd"/>
            <w:r>
              <w:t>»;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- с кадастровым номером 49.09.2.108 и наименованием «Водоохранная зона реки </w:t>
            </w:r>
            <w:proofErr w:type="spellStart"/>
            <w:r>
              <w:t>Магаданка</w:t>
            </w:r>
            <w:proofErr w:type="spellEnd"/>
            <w:r>
              <w:t>».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В границах водоохранной зоны и н</w:t>
            </w:r>
            <w:r w:rsidRPr="00EE65B9">
              <w:t>а территории прибрежной защитной полосы действуют ограничения, предусмотренные статьей 65 Водного кодекса Российской Федерации, а именно в границах</w:t>
            </w:r>
            <w:r>
              <w:t xml:space="preserve"> водоохранных зон и </w:t>
            </w:r>
            <w:r w:rsidRPr="00EE65B9">
              <w:t>прибрежных защитных полос запрещается: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1) использование сточных вод в целях регулирования плодородия почв;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3) осуществление авиационных мер по борьбе с вредными организмами;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 xml:space="preserve">6) размещение специализированных хранилищ пестицидов и </w:t>
            </w:r>
            <w:proofErr w:type="spellStart"/>
            <w:r w:rsidRPr="00EE65B9">
              <w:lastRenderedPageBreak/>
              <w:t>агрохимикатов</w:t>
            </w:r>
            <w:proofErr w:type="spellEnd"/>
            <w:r w:rsidRPr="00EE65B9">
              <w:t xml:space="preserve">, применение пестицидов и </w:t>
            </w:r>
            <w:proofErr w:type="spellStart"/>
            <w:r w:rsidRPr="00EE65B9">
              <w:t>агрохимикатов</w:t>
            </w:r>
            <w:proofErr w:type="spellEnd"/>
            <w:r w:rsidRPr="00EE65B9">
              <w:t>;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7) сброс сточных, в том числе дренажных, вод;</w:t>
            </w:r>
          </w:p>
          <w:p w:rsidR="00AD1C61" w:rsidRPr="00981B8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981B81">
              <w:t xml:space="preserve">со </w:t>
            </w:r>
            <w:hyperlink r:id="rId7" w:history="1">
              <w:r w:rsidRPr="00981B81">
                <w:t>статьей 19.1</w:t>
              </w:r>
            </w:hyperlink>
            <w:r w:rsidRPr="00981B81">
              <w:t xml:space="preserve"> Закона Российской Федерации от</w:t>
            </w:r>
            <w:proofErr w:type="gramEnd"/>
            <w:r w:rsidRPr="00981B81">
              <w:t xml:space="preserve"> </w:t>
            </w:r>
            <w:proofErr w:type="gramStart"/>
            <w:r w:rsidRPr="00981B81">
              <w:t>21 февраля 1992 года N 2395-1 «О недрах»).</w:t>
            </w:r>
            <w:proofErr w:type="gramEnd"/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9) распашка земель;</w:t>
            </w:r>
          </w:p>
          <w:p w:rsidR="00AD1C61" w:rsidRPr="00EE65B9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10) размещение отвалов размываемых грунтов;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11) выпас сельскохозяйственных животных и организация для них летних лагерей, ванн.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с кадастровым номером 49.09.2.121 и наименованием «Зона затопления </w:t>
            </w:r>
            <w:proofErr w:type="gramStart"/>
            <w:r>
              <w:t>прилегающих</w:t>
            </w:r>
            <w:proofErr w:type="gramEnd"/>
            <w:r>
              <w:t xml:space="preserve"> к водному объекту (р. </w:t>
            </w:r>
            <w:proofErr w:type="spellStart"/>
            <w:r>
              <w:t>Магаданка</w:t>
            </w:r>
            <w:proofErr w:type="spellEnd"/>
            <w:r>
              <w:t>) расчетной обеспеченностью 1%».</w:t>
            </w:r>
          </w:p>
          <w:p w:rsidR="00AD1C61" w:rsidRPr="00981B81" w:rsidRDefault="00AD1C61" w:rsidP="00C93C3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81B81">
              <w:t xml:space="preserve">В соответствии со статьей 67.1 Водного кодекса Российской Федерации в границах зон затопления, подтопления, запрещаются: </w:t>
            </w:r>
          </w:p>
          <w:p w:rsidR="00AD1C61" w:rsidRPr="00981B81" w:rsidRDefault="00AD1C61" w:rsidP="00C93C3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81B81">
      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      </w:r>
          </w:p>
          <w:p w:rsidR="00AD1C61" w:rsidRPr="00981B81" w:rsidRDefault="00AD1C61" w:rsidP="00C93C3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81B81">
              <w:t xml:space="preserve">2) использование сточных вод в целях регулирования плодородия почв; </w:t>
            </w:r>
          </w:p>
          <w:p w:rsidR="00AD1C61" w:rsidRPr="00981B81" w:rsidRDefault="00AD1C61" w:rsidP="00C93C3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81B81">
              <w:t xml:space="preserve">3)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      </w:r>
          </w:p>
          <w:p w:rsidR="00AD1C61" w:rsidRPr="00B25DAB" w:rsidRDefault="00AD1C61" w:rsidP="00C93C3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81B81">
              <w:t xml:space="preserve">4) осуществление авиационных мер по борьбе с вредными организмами. </w:t>
            </w:r>
          </w:p>
        </w:tc>
      </w:tr>
      <w:tr w:rsidR="00AD1C61" w:rsidRPr="00B25DAB" w:rsidTr="00AD1C61">
        <w:trPr>
          <w:jc w:val="center"/>
        </w:trPr>
        <w:tc>
          <w:tcPr>
            <w:tcW w:w="10021" w:type="dxa"/>
            <w:gridSpan w:val="2"/>
            <w:shd w:val="clear" w:color="auto" w:fill="auto"/>
          </w:tcPr>
          <w:p w:rsidR="00AD1C61" w:rsidRPr="00B80197" w:rsidRDefault="00AD1C61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AD1C61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AD1C61" w:rsidRPr="00B25DAB" w:rsidRDefault="00AD1C61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AD1C61" w:rsidRDefault="00AD1C61" w:rsidP="00C93C37">
            <w:pPr>
              <w:spacing w:line="240" w:lineRule="auto"/>
              <w:jc w:val="both"/>
            </w:pPr>
            <w:r w:rsidRPr="00B80197">
              <w:t xml:space="preserve">Теплоснабжение (письмо МУП г. Магадана «Магадантеплосеть» от </w:t>
            </w:r>
            <w:r>
              <w:t>15.04.2019</w:t>
            </w:r>
            <w:r w:rsidRPr="00B80197">
              <w:t xml:space="preserve"> № 08-</w:t>
            </w:r>
            <w:r>
              <w:t>799</w:t>
            </w:r>
            <w:r w:rsidRPr="00B80197">
              <w:t>):</w:t>
            </w:r>
            <w:r>
              <w:t xml:space="preserve"> т</w:t>
            </w:r>
            <w:r w:rsidRPr="00B80197">
              <w:t>еплоснабжение объекта капитального строительства</w:t>
            </w:r>
            <w:r>
              <w:t xml:space="preserve"> не предусмотрено Схемой теплоснабжения МО «Город Магадан» до 2029 г,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D1C61" w:rsidRPr="006322C8" w:rsidRDefault="00AD1C61" w:rsidP="00C93C37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08</w:t>
            </w:r>
            <w:r w:rsidRPr="00B80197">
              <w:t>.</w:t>
            </w:r>
            <w:r>
              <w:t>14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2247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ВК-2713, максимальное разрешенное водопотребление – 0,5 куб. м в сутки. Канализация: место присоединения к канализации,  находящейся в хозяйственном </w:t>
            </w:r>
            <w:r>
              <w:lastRenderedPageBreak/>
              <w:t xml:space="preserve">ведении МУП г. Магадана «Водоканал» - КК-7734, максимальное разрешенное водоотведение стоков – 0,5 куб. м в сутки, ориентировочная протяженность линий подключения – 950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D1C61" w:rsidRPr="00B25DAB" w:rsidTr="00AD1C61">
        <w:trPr>
          <w:jc w:val="center"/>
        </w:trPr>
        <w:tc>
          <w:tcPr>
            <w:tcW w:w="3784" w:type="dxa"/>
            <w:shd w:val="clear" w:color="auto" w:fill="auto"/>
          </w:tcPr>
          <w:p w:rsidR="00AD1C61" w:rsidRPr="00B25DAB" w:rsidRDefault="00AD1C61" w:rsidP="00C93C3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AD1C61" w:rsidRPr="00B25DAB" w:rsidRDefault="005F37ED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D1C61" w:rsidRPr="00B80197" w:rsidRDefault="00AD1C61" w:rsidP="00AD1C6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AB5774">
        <w:t xml:space="preserve">125000 </w:t>
      </w:r>
      <w:r w:rsidRPr="00B80197">
        <w:t>(</w:t>
      </w:r>
      <w:r w:rsidR="00AB5774">
        <w:t>сто двадцать пять тысяч</w:t>
      </w:r>
      <w:r w:rsidRPr="00B80197">
        <w:t xml:space="preserve">) рублей 00 копеек (НДС не облагается). </w:t>
      </w:r>
    </w:p>
    <w:p w:rsidR="00AD1C61" w:rsidRPr="00B80197" w:rsidRDefault="00AD1C61" w:rsidP="00AD1C6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AB5774">
        <w:t>3500</w:t>
      </w:r>
      <w:r w:rsidRPr="00B80197">
        <w:t xml:space="preserve"> (</w:t>
      </w:r>
      <w:r w:rsidR="00AB5774">
        <w:t>три тысячи пятьсот</w:t>
      </w:r>
      <w:r w:rsidRPr="00B80197">
        <w:t xml:space="preserve">) рублей 00 копеек. </w:t>
      </w:r>
    </w:p>
    <w:p w:rsidR="00AD1C61" w:rsidRPr="00B80197" w:rsidRDefault="00AD1C61" w:rsidP="00AD1C6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AB5774">
        <w:t xml:space="preserve">125000 </w:t>
      </w:r>
      <w:r w:rsidRPr="00B80197">
        <w:t>(</w:t>
      </w:r>
      <w:r w:rsidR="00AB5774">
        <w:t>сто двадцать пять тысяч</w:t>
      </w:r>
      <w:r w:rsidRPr="00B80197">
        <w:t xml:space="preserve">) рублей 00 копеек. </w:t>
      </w:r>
    </w:p>
    <w:p w:rsidR="00AD1C61" w:rsidRPr="00B80197" w:rsidRDefault="00AD1C61" w:rsidP="00AD1C6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AD1C61" w:rsidRPr="00B80197" w:rsidRDefault="00AD1C61" w:rsidP="006D6679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83CC5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1DCD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C98F05BB0F301D71A54A8B23C28C5C70D3E82E53C8CC37E5C0BA2CED039D1C96F8386429AAD2025BF22B18EFD12DF210343E5v1M5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26C5-72CA-4FC8-BC63-FB782A79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2019-10-08T00:22:00Z</dcterms:created>
  <dcterms:modified xsi:type="dcterms:W3CDTF">2019-10-08T00:23:00Z</dcterms:modified>
</cp:coreProperties>
</file>