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E61851">
        <w:rPr>
          <w:b/>
          <w:sz w:val="22"/>
          <w:szCs w:val="22"/>
          <w:u w:val="single"/>
        </w:rPr>
        <w:t>8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E61851">
        <w:rPr>
          <w:b/>
        </w:rPr>
        <w:t>5</w:t>
      </w:r>
      <w:r w:rsidRPr="00892F08">
        <w:rPr>
          <w:b/>
        </w:rPr>
        <w:t xml:space="preserve"> </w:t>
      </w:r>
      <w:r w:rsidR="00E61851">
        <w:rPr>
          <w:b/>
        </w:rPr>
        <w:t>НО</w:t>
      </w:r>
      <w:r w:rsidR="00EC6619">
        <w:rPr>
          <w:b/>
        </w:rPr>
        <w:t>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61851">
        <w:rPr>
          <w:b/>
        </w:rPr>
        <w:t xml:space="preserve"> 10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E61851">
        <w:rPr>
          <w:b/>
        </w:rPr>
        <w:t>13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3C62F4" w:rsidRPr="00BC0ECF" w:rsidRDefault="00424FAA" w:rsidP="003C62F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3C62F4" w:rsidRPr="00BC0ECF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49:09:03</w:t>
      </w:r>
      <w:r w:rsidR="003C62F4">
        <w:rPr>
          <w:b/>
        </w:rPr>
        <w:t>1002</w:t>
      </w:r>
      <w:r w:rsidR="003C62F4" w:rsidRPr="00BC0ECF">
        <w:rPr>
          <w:b/>
        </w:rPr>
        <w:t>:</w:t>
      </w:r>
      <w:r w:rsidR="003C62F4">
        <w:rPr>
          <w:b/>
        </w:rPr>
        <w:t>227</w:t>
      </w:r>
      <w:r w:rsidR="003C62F4" w:rsidRPr="00BC0ECF">
        <w:rPr>
          <w:b/>
        </w:rPr>
        <w:t xml:space="preserve">  площадью 1</w:t>
      </w:r>
      <w:r w:rsidR="003C62F4">
        <w:rPr>
          <w:b/>
        </w:rPr>
        <w:t>1</w:t>
      </w:r>
      <w:r w:rsidR="003C62F4" w:rsidRPr="00BC0ECF">
        <w:rPr>
          <w:b/>
        </w:rPr>
        <w:t xml:space="preserve">99 кв. м, по адресу: город Магадан,  </w:t>
      </w:r>
      <w:r w:rsidR="003C62F4">
        <w:rPr>
          <w:b/>
        </w:rPr>
        <w:t>в районе 5 км Основной трассы</w:t>
      </w:r>
      <w:r w:rsidR="003C62F4" w:rsidRPr="00BC0ECF">
        <w:rPr>
          <w:b/>
        </w:rPr>
        <w:t xml:space="preserve">.  </w:t>
      </w:r>
    </w:p>
    <w:p w:rsidR="003C62F4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9979EE" w:rsidRDefault="003C62F4" w:rsidP="00FF1D51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C62F4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C62F4" w:rsidRPr="00B25DAB" w:rsidTr="0031576D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3C62F4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C62F4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3C62F4" w:rsidRPr="00B80197" w:rsidRDefault="003C62F4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3C62F4" w:rsidRPr="00B25DAB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FF1D51">
            <w:pPr>
              <w:spacing w:line="240" w:lineRule="auto"/>
              <w:jc w:val="both"/>
            </w:pPr>
            <w:r w:rsidRPr="003C62F4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</w:t>
            </w:r>
            <w:r>
              <w:lastRenderedPageBreak/>
              <w:t>получить технические условия от электроснабжающей организации.</w:t>
            </w:r>
          </w:p>
          <w:p w:rsidR="003C62F4" w:rsidRDefault="003C62F4" w:rsidP="00FF1D51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</w:t>
            </w:r>
            <w:r w:rsidR="0031576D">
              <w:t>. </w:t>
            </w:r>
            <w:r>
              <w:t>питьевые нужды – 3,0 куб. м в сутки. Ориентировочная протяженность линий подключения – 820 м.</w:t>
            </w:r>
          </w:p>
          <w:p w:rsidR="003C62F4" w:rsidRPr="006322C8" w:rsidRDefault="003C62F4" w:rsidP="0031576D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31576D">
              <w:t xml:space="preserve">остановлением </w:t>
            </w:r>
            <w:r>
              <w:t>П</w:t>
            </w:r>
            <w:r w:rsidR="0031576D">
              <w:t>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Ориентировочная протяженность линий подключения – 750 м.</w:t>
            </w:r>
            <w:r w:rsidR="0031576D">
              <w:t xml:space="preserve">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1576D">
            <w:pPr>
              <w:autoSpaceDE w:val="0"/>
              <w:autoSpaceDN w:val="0"/>
              <w:spacing w:line="240" w:lineRule="auto"/>
              <w:jc w:val="both"/>
            </w:pPr>
            <w:r>
              <w:t>Отсут</w:t>
            </w:r>
            <w:r w:rsidR="0031576D">
              <w:t>с</w:t>
            </w:r>
            <w:r>
              <w:t>твует</w:t>
            </w:r>
          </w:p>
        </w:tc>
      </w:tr>
    </w:tbl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 (НДС не облагается).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31576D">
        <w:t>4000</w:t>
      </w:r>
      <w:r w:rsidRPr="00B80197">
        <w:t xml:space="preserve"> (</w:t>
      </w:r>
      <w:r w:rsidR="0031576D">
        <w:t>четыре тысячи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424FAA" w:rsidRPr="00B25DAB" w:rsidRDefault="00424FAA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F2BCE" w:rsidRDefault="005F2BCE" w:rsidP="005F2BC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F2BCE">
        <w:rPr>
          <w:b/>
          <w:u w:val="single"/>
        </w:rPr>
        <w:t>ЛОТ № 2: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032104:1089</w:t>
      </w:r>
      <w:r w:rsidRPr="00B25DAB">
        <w:rPr>
          <w:b/>
        </w:rPr>
        <w:t xml:space="preserve"> площадью </w:t>
      </w:r>
      <w:r>
        <w:rPr>
          <w:b/>
        </w:rPr>
        <w:t xml:space="preserve">1205 </w:t>
      </w:r>
      <w:r w:rsidRPr="00B25DAB">
        <w:rPr>
          <w:b/>
        </w:rPr>
        <w:t>кв. м</w:t>
      </w:r>
      <w:r>
        <w:rPr>
          <w:b/>
        </w:rPr>
        <w:t xml:space="preserve"> по адресу:  город Магадан, микрорайон Снежный, улица Луговая.</w:t>
      </w:r>
    </w:p>
    <w:p w:rsidR="005F2BCE" w:rsidRPr="00B25DAB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12 сентября </w:t>
      </w:r>
      <w:r>
        <w:t xml:space="preserve"> 2019</w:t>
      </w:r>
      <w:r w:rsidRPr="00B25DAB">
        <w:t xml:space="preserve"> г</w:t>
      </w:r>
      <w:r>
        <w:t>.</w:t>
      </w:r>
      <w:r w:rsidRPr="00B25DAB">
        <w:t xml:space="preserve"> № </w:t>
      </w:r>
      <w:r>
        <w:t>343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</w:t>
      </w:r>
      <w:r>
        <w:t xml:space="preserve"> город</w:t>
      </w:r>
      <w:r>
        <w:t>е</w:t>
      </w:r>
      <w:r>
        <w:t xml:space="preserve"> Магадан</w:t>
      </w:r>
      <w:r>
        <w:t>е в</w:t>
      </w:r>
      <w:r>
        <w:t xml:space="preserve"> микрорайон</w:t>
      </w:r>
      <w:r>
        <w:t>е</w:t>
      </w:r>
      <w:r>
        <w:t xml:space="preserve"> Снежный</w:t>
      </w:r>
      <w:r>
        <w:t xml:space="preserve"> по</w:t>
      </w:r>
      <w:r>
        <w:t xml:space="preserve"> улиц</w:t>
      </w:r>
      <w:r>
        <w:t>е</w:t>
      </w:r>
      <w:r>
        <w:t xml:space="preserve"> Лугов</w:t>
      </w:r>
      <w:r>
        <w:t>ой</w:t>
      </w:r>
      <w:r>
        <w:t>»</w:t>
      </w:r>
      <w:r w:rsidR="00D01C9B">
        <w:t>.</w:t>
      </w:r>
    </w:p>
    <w:p w:rsidR="005F2BCE" w:rsidRPr="006A5899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49:09:032104:1089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D01C9B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="00D01C9B">
              <w:t>микрорайон Снежный, улица Луговая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1205 кв. м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F2BCE" w:rsidRPr="00B25DAB" w:rsidTr="00FF1D51">
        <w:trPr>
          <w:trHeight w:val="496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49:09:032104:968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F2BCE" w:rsidRPr="00B25DAB" w:rsidTr="00FF1D51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5F2BCE" w:rsidRPr="006A5899" w:rsidRDefault="005F2BCE" w:rsidP="00FF1D51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5F2BCE" w:rsidRPr="00B25DAB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Default="005F2BCE" w:rsidP="00FF1D51">
            <w:pPr>
              <w:spacing w:line="240" w:lineRule="auto"/>
              <w:jc w:val="both"/>
            </w:pPr>
            <w:r w:rsidRPr="00D01C9B">
              <w:lastRenderedPageBreak/>
              <w:t xml:space="preserve">Теплоснабжение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19.08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08-189/1.)</w:t>
            </w:r>
            <w:r w:rsidR="00D01C9B">
              <w:t xml:space="preserve">. </w:t>
            </w:r>
            <w:r>
              <w:t xml:space="preserve">Обеспечение земельного участка </w:t>
            </w:r>
            <w:r>
              <w:lastRenderedPageBreak/>
              <w:t xml:space="preserve">тепловой энергией возможно от котельной № 46 в микрорайоне </w:t>
            </w:r>
            <w:proofErr w:type="gramStart"/>
            <w:r>
              <w:t>Снежный</w:t>
            </w:r>
            <w:proofErr w:type="gramEnd"/>
            <w:r>
              <w:t xml:space="preserve"> после обращения с заявлением о заключении договора о подключении здания к системе теплоснабжения.</w:t>
            </w:r>
            <w:r w:rsidR="00D01C9B">
              <w:t xml:space="preserve"> </w:t>
            </w:r>
            <w:r>
              <w:t>Для представления заявки на заключение договора руководствоваться пунктом 25 и 26 Постановления П</w:t>
            </w:r>
            <w:r w:rsidR="00D01C9B">
              <w:t>равительства РФ от 05.07.2018</w:t>
            </w:r>
            <w:r>
              <w:t xml:space="preserve"> № 787.</w:t>
            </w:r>
            <w:r w:rsidR="00D01C9B">
              <w:t xml:space="preserve"> </w:t>
            </w:r>
            <w:r>
              <w:t>Подключение объекта к горячему водоснабжению от локального источника согласно Федеральному закону от 27.06.2010 г. № 190-ФЗ «О теплоснабжении» ст. 29 п.8.</w:t>
            </w:r>
          </w:p>
          <w:p w:rsidR="005F2BCE" w:rsidRPr="006D408A" w:rsidRDefault="005F2BCE" w:rsidP="00D01C9B">
            <w:pPr>
              <w:spacing w:line="240" w:lineRule="auto"/>
              <w:jc w:val="both"/>
            </w:pPr>
            <w:r w:rsidRPr="00D01C9B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09.08</w:t>
            </w:r>
            <w:r w:rsidRPr="00D66522">
              <w:t>.201</w:t>
            </w:r>
            <w:r>
              <w:t xml:space="preserve">9 </w:t>
            </w:r>
            <w:r w:rsidRPr="00D66522">
              <w:t xml:space="preserve"> № </w:t>
            </w:r>
            <w:r>
              <w:t>4932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</w:t>
            </w:r>
            <w:r w:rsidR="00D01C9B">
              <w:t xml:space="preserve"> </w:t>
            </w:r>
            <w:r>
              <w:t xml:space="preserve">водопровод-место присоединения к водопроводу, находящемуся в хозяйственном ведении  МУП г. Магадана «Водоканал»  -  ТВК-2050.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-14 м.</w:t>
            </w:r>
            <w:r w:rsidR="00D01C9B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КК-82. Разрешенный сброс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D01C9B">
              <w:t>остановлением Правительства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</w:t>
            </w:r>
            <w:r w:rsidR="00604CED">
              <w:t xml:space="preserve"> </w:t>
            </w:r>
            <w:r>
              <w:t>(правообладателю земельного участка).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</w:t>
            </w:r>
            <w:r w:rsidRPr="00D66522">
              <w:t xml:space="preserve"> от </w:t>
            </w:r>
            <w:r>
              <w:t>09.08</w:t>
            </w:r>
            <w:r w:rsidRPr="00D66522">
              <w:t>.201</w:t>
            </w:r>
            <w:r>
              <w:t xml:space="preserve">9 </w:t>
            </w:r>
            <w:r w:rsidRPr="00D66522">
              <w:t xml:space="preserve"> № </w:t>
            </w:r>
            <w:r>
              <w:t>4932   - 3 года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D01C9B">
        <w:t xml:space="preserve">76000 </w:t>
      </w:r>
      <w:r w:rsidRPr="00DC4542">
        <w:t>(</w:t>
      </w:r>
      <w:r w:rsidR="00D01C9B">
        <w:t>семьдесят шесть тысяч</w:t>
      </w:r>
      <w:r w:rsidRPr="00DC4542">
        <w:t xml:space="preserve">) рублей 00 копеек (НДС не облагается).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604CED">
        <w:t xml:space="preserve">2000 </w:t>
      </w:r>
      <w:r w:rsidRPr="00DC4542">
        <w:t>(</w:t>
      </w:r>
      <w:r w:rsidR="00604CED">
        <w:t>две тысячи</w:t>
      </w:r>
      <w:r w:rsidRPr="00DC4542">
        <w:t xml:space="preserve">) рублей 00 копеек.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604CED">
        <w:t>76000</w:t>
      </w:r>
      <w:r w:rsidRPr="00DC4542">
        <w:t xml:space="preserve"> (</w:t>
      </w:r>
      <w:r w:rsidR="00604CED">
        <w:t>семьдесят шесть тысяч</w:t>
      </w:r>
      <w:r w:rsidRPr="00DC4542">
        <w:t xml:space="preserve">) рублей 00 копеек.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584E70" w:rsidRDefault="00584E70" w:rsidP="008E1E8C">
      <w:pPr>
        <w:autoSpaceDE w:val="0"/>
        <w:autoSpaceDN w:val="0"/>
        <w:spacing w:line="240" w:lineRule="auto"/>
        <w:ind w:firstLine="567"/>
        <w:jc w:val="both"/>
      </w:pPr>
    </w:p>
    <w:p w:rsidR="00604CED" w:rsidRPr="00B25DAB" w:rsidRDefault="00604CED" w:rsidP="00604CE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031402:284 </w:t>
      </w:r>
      <w:r w:rsidRPr="00B25DAB">
        <w:rPr>
          <w:b/>
        </w:rPr>
        <w:t xml:space="preserve"> площадью </w:t>
      </w:r>
      <w:r>
        <w:rPr>
          <w:b/>
        </w:rPr>
        <w:t xml:space="preserve">166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 по улице Зайцева. </w:t>
      </w:r>
      <w:r w:rsidRPr="00B25DAB">
        <w:rPr>
          <w:b/>
        </w:rPr>
        <w:t xml:space="preserve"> </w:t>
      </w:r>
    </w:p>
    <w:p w:rsidR="00604CED" w:rsidRPr="009E0528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E30CF">
        <w:t xml:space="preserve">30 сентября 2019 г. </w:t>
      </w:r>
      <w:r w:rsidRPr="009E0528">
        <w:t xml:space="preserve">№ </w:t>
      </w:r>
      <w:r w:rsidR="00BE30CF">
        <w:t xml:space="preserve">367-р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 </w:t>
      </w:r>
      <w:r>
        <w:t>по улице Зайцева</w:t>
      </w:r>
      <w:r w:rsidRPr="009E0528">
        <w:t>»</w:t>
      </w:r>
      <w:r>
        <w:t>.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393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6400"/>
      </w:tblGrid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49:09:031402:284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9979EE" w:rsidRDefault="00604CED" w:rsidP="00FF1D51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</w:t>
            </w:r>
            <w:proofErr w:type="gramEnd"/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улице Зайцева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166 кв. м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04CED" w:rsidRPr="00B25DAB" w:rsidTr="00BE30CF">
        <w:trPr>
          <w:trHeight w:val="498"/>
          <w:jc w:val="center"/>
        </w:trPr>
        <w:tc>
          <w:tcPr>
            <w:tcW w:w="3993" w:type="dxa"/>
            <w:shd w:val="clear" w:color="auto" w:fill="auto"/>
          </w:tcPr>
          <w:p w:rsidR="00604CED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49:09:031402:143 под открытой стоянкой для грузовых автомобилей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EE65B9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Участок расположен в границах прибрежной защитной полосы реки Магаданки, состоящей на кадастровом учете с </w:t>
            </w:r>
            <w:proofErr w:type="gramStart"/>
            <w:r>
              <w:t>кадастровым</w:t>
            </w:r>
            <w:proofErr w:type="gramEnd"/>
            <w:r>
              <w:t xml:space="preserve"> № 49.09.2.107.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Ограничения использования земельных участков и объектов капитального строительства установлены статьей  65 Водного Кодекса Российской Федерации.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В границах прибрежной защитной полосы запрещаются: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lastRenderedPageBreak/>
              <w:t>3) осуществление авиационных мер по борьбе с вредными организмами;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proofErr w:type="gramStart"/>
            <w: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</w:t>
            </w:r>
            <w:r w:rsidR="00BE30CF">
              <w:t>Водного</w:t>
            </w:r>
            <w:r>
              <w:t xml:space="preserve"> </w:t>
            </w:r>
            <w:r w:rsidR="00BE30CF">
              <w:t>к</w:t>
            </w:r>
            <w:r>
              <w:t>одекса</w:t>
            </w:r>
            <w:r w:rsidR="00BE30CF">
              <w:t xml:space="preserve"> Российской Федерации</w:t>
            </w:r>
            <w:r>
      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6)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7) сброс сточных, в том числе дренажных, вод;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proofErr w:type="gramStart"/>
            <w: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>21 февраля 1992 года № 2395-1 «О недрах»).</w:t>
            </w:r>
            <w:proofErr w:type="gramEnd"/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9) распашка земель;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10) размещение отвалов размываемых грунтов;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11) выпас сельскохозяйственных животных и организация для них летних лагерей, ванн.</w:t>
            </w:r>
          </w:p>
          <w:p w:rsidR="00604CED" w:rsidRPr="00EE65B9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Кроме того, ограничения установлены </w:t>
            </w:r>
            <w:proofErr w:type="spellStart"/>
            <w:r>
              <w:t>СанПин</w:t>
            </w:r>
            <w:proofErr w:type="spellEnd"/>
            <w:r>
              <w:t xml:space="preserve"> 2.1.5.980-00 «Гигиенические требования к охране поверхностных вод»</w:t>
            </w:r>
          </w:p>
        </w:tc>
      </w:tr>
      <w:tr w:rsidR="00604CED" w:rsidRPr="00B25DAB" w:rsidTr="00BE30CF">
        <w:trPr>
          <w:jc w:val="center"/>
        </w:trPr>
        <w:tc>
          <w:tcPr>
            <w:tcW w:w="10393" w:type="dxa"/>
            <w:gridSpan w:val="2"/>
            <w:shd w:val="clear" w:color="auto" w:fill="auto"/>
          </w:tcPr>
          <w:p w:rsidR="00604CED" w:rsidRPr="00B80197" w:rsidRDefault="00604CED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 максимальный процент застройки - 60-70, отступ от красной линии - не менее 5 м; минимальный процент озеленения - 10-15.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Склады: этажность не более 2 этажей, максимальный процент застройки – 70, минимальный отступ от красной линии - по границам красных линий, минимальный процент озеленения – 10.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Выращивание тонизирующих, лекарственных, цветочных культур: плоскостные площадки, отступ от красной линии - по границам красных линий.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2 этажей, максимальный процент застройки – 50, минимальный отступ от красной линии - 5 м, минимальный процент озеленения – 30.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3 этажей, максимальный процент застройки – 70, отступ от красной линии - не менее 5 м, минимальный процент озеленения – 20.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- по границам красных линий; минимальный процент озеленения – 30.</w:t>
            </w:r>
          </w:p>
          <w:p w:rsidR="00604CED" w:rsidRPr="00B25DAB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Обслуживание автотранспорта: этажность зданий не более 6 этажей, максимальный процент застройки – 80; открытые площадки с твердым покрытием (асфальтовое, бетонное либо иное покрытие подобного типа). 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02.07</w:t>
            </w:r>
            <w:r w:rsidRPr="00B80197">
              <w:t>.201</w:t>
            </w:r>
            <w:r>
              <w:t>9 №08-1444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</w:t>
            </w:r>
            <w:proofErr w:type="gramStart"/>
            <w:r>
              <w:t>возможно</w:t>
            </w:r>
            <w:proofErr w:type="gramEnd"/>
            <w:r>
              <w:t xml:space="preserve"> подключить к тепловым сетям от ЦТП № 10 после внесения в Схему теплоснабжения муниципального образования «Город Магадан» на 2014 - 2029 г. и обращения с заявлением о заключении договора о подключении к системе теплоснабжения. Для предоставления заявки на заключение договора руководствоваться п. 25, 26 Постановления Правительства Российской Федерации от 05.07.2018 № 787.  Подключение объекта к горячему водоснабжению от локального источника. В случае установки электрокотла необходимо получить технические условия в электроснабжающей организации.</w:t>
            </w:r>
          </w:p>
          <w:p w:rsidR="00604CED" w:rsidRDefault="00604CED" w:rsidP="00FF1D51">
            <w:pPr>
              <w:spacing w:line="240" w:lineRule="auto"/>
              <w:jc w:val="both"/>
            </w:pPr>
            <w:r>
              <w:lastRenderedPageBreak/>
              <w:t xml:space="preserve">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27.06.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3711)</w:t>
            </w:r>
            <w:r w:rsidRPr="00B80197">
              <w:t xml:space="preserve">: </w:t>
            </w:r>
            <w:proofErr w:type="gramStart"/>
            <w:r>
              <w:t>Водопровод – место присоединения к водопроводу, находящемуся в хозяйственном ведении МУП г. Магадана «Водоканал» - ТВК-2107, максимальное разрешенное водопотребление на хозяйственные, питьевые нужды – 2,0 куб. м в сутки, ориентировочная протяженность трассы до точки подключения – 70 м. Канализация – место присоединения к канализации, находящейся в хозяйственном ведении МУП г. Магадана «Водоканал» - КК-6490, разрешенный сброс – 2,0 куб. м в сутки, ориентировочная протяженность трассы до точки</w:t>
            </w:r>
            <w:proofErr w:type="gramEnd"/>
            <w:r>
              <w:t xml:space="preserve"> подключения – 135 м.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BE30CF">
              <w:t xml:space="preserve">остановлением Правительства Российской Федерации </w:t>
            </w:r>
            <w:r>
              <w:t xml:space="preserve"> от 29.07.2013 № 644 запрещен к сбросу в централизованные системы водоотведения. </w:t>
            </w:r>
          </w:p>
          <w:p w:rsidR="00604CED" w:rsidRPr="006322C8" w:rsidRDefault="00604CED" w:rsidP="00FF1D51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</w:t>
            </w:r>
            <w:r w:rsidR="00461FDA">
              <w:t xml:space="preserve">МУП г. Магадана «Водоканал» </w:t>
            </w:r>
            <w:r>
              <w:t>– 3 года.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461FDA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BE30CF">
        <w:t xml:space="preserve">19000 </w:t>
      </w:r>
      <w:r w:rsidRPr="00B80197">
        <w:t>(</w:t>
      </w:r>
      <w:r w:rsidR="00BE30CF">
        <w:t>девятнадцать тысяч</w:t>
      </w:r>
      <w:r w:rsidRPr="00B80197">
        <w:t xml:space="preserve">) рублей 00 копеек (НДС не облагается).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461FDA">
        <w:t xml:space="preserve">500 </w:t>
      </w:r>
      <w:r w:rsidRPr="00B80197">
        <w:t>(</w:t>
      </w:r>
      <w:r w:rsidR="00461FDA">
        <w:t>пятьсот</w:t>
      </w:r>
      <w:r w:rsidRPr="00B80197">
        <w:t xml:space="preserve">) рублей 00 копеек.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461FDA">
        <w:t xml:space="preserve">19000 </w:t>
      </w:r>
      <w:r w:rsidRPr="00B80197">
        <w:t>(</w:t>
      </w:r>
      <w:r w:rsidR="00461FDA">
        <w:t>девятнадцать тысяч</w:t>
      </w:r>
      <w:r w:rsidRPr="00B80197">
        <w:t xml:space="preserve">) рублей 00 копеек.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18</w:t>
      </w:r>
      <w:r w:rsidRPr="00B80197">
        <w:t xml:space="preserve"> месяц</w:t>
      </w:r>
      <w:r>
        <w:t>ев</w:t>
      </w:r>
      <w:r w:rsidRPr="00B80197">
        <w:t>.</w:t>
      </w:r>
    </w:p>
    <w:p w:rsidR="00604CED" w:rsidRDefault="00604CED" w:rsidP="008E1E8C">
      <w:pPr>
        <w:autoSpaceDE w:val="0"/>
        <w:autoSpaceDN w:val="0"/>
        <w:spacing w:line="240" w:lineRule="auto"/>
        <w:ind w:firstLine="567"/>
        <w:jc w:val="both"/>
      </w:pP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030304:745 </w:t>
      </w:r>
      <w:r w:rsidRPr="00B25DAB">
        <w:rPr>
          <w:b/>
        </w:rPr>
        <w:t xml:space="preserve">площадью </w:t>
      </w:r>
      <w:r>
        <w:rPr>
          <w:b/>
        </w:rPr>
        <w:t>64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Пролетарской. </w:t>
      </w:r>
      <w:r w:rsidRPr="00B25DAB">
        <w:rPr>
          <w:b/>
        </w:rPr>
        <w:t xml:space="preserve"> </w:t>
      </w: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28.08.2019 </w:t>
      </w:r>
      <w:r w:rsidRPr="00B25DAB">
        <w:t xml:space="preserve">№ </w:t>
      </w:r>
      <w:r>
        <w:t>311-р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по улице Пролетарской», распоряжение от 07.11.2019 № 448-р «О внесении изменений в распоряжение».</w:t>
      </w: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36"/>
        <w:gridCol w:w="5733"/>
      </w:tblGrid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49:09:030304:745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9979EE" w:rsidRDefault="00417938" w:rsidP="00FF1D51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деятельность, обслуживание автотранспорта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Пролетарская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64 кв. м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17938" w:rsidRPr="00B25DAB" w:rsidTr="00417938">
        <w:trPr>
          <w:trHeight w:val="498"/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кадастровым</w:t>
            </w:r>
            <w:proofErr w:type="gramEnd"/>
            <w:r>
              <w:t xml:space="preserve"> номером 49:09:030304:1018 с разрешенным использованием: гараж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4D767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17938" w:rsidRPr="00B25DAB" w:rsidTr="00417938">
        <w:trPr>
          <w:jc w:val="center"/>
        </w:trPr>
        <w:tc>
          <w:tcPr>
            <w:tcW w:w="10094" w:type="dxa"/>
            <w:gridSpan w:val="3"/>
            <w:shd w:val="clear" w:color="auto" w:fill="auto"/>
          </w:tcPr>
          <w:p w:rsidR="00417938" w:rsidRPr="00AB4902" w:rsidRDefault="00417938" w:rsidP="00FF1D51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</w:t>
            </w:r>
            <w:r>
              <w:lastRenderedPageBreak/>
              <w:t>линий; минимальный процент озеленения – 20.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  <w:p w:rsidR="00417938" w:rsidRPr="00B25DAB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открытые площадки с твердым покрытием (асфальтовое, бетонное либо иное покрытие подобного типа).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Default="00417938" w:rsidP="00FF1D51">
            <w:pPr>
              <w:spacing w:line="240" w:lineRule="auto"/>
              <w:jc w:val="both"/>
            </w:pPr>
            <w:r w:rsidRPr="00051875">
              <w:t xml:space="preserve">Теплоснабжение </w:t>
            </w:r>
            <w:r w:rsidRPr="00207C1F">
              <w:t xml:space="preserve">(письмо МУП г. Магадана «Магадантеплосеть» от </w:t>
            </w:r>
            <w:r>
              <w:t>06</w:t>
            </w:r>
            <w:r w:rsidRPr="00207C1F">
              <w:t xml:space="preserve">.05.2019 № </w:t>
            </w:r>
            <w:r>
              <w:t>08-963</w:t>
            </w:r>
            <w:r w:rsidRPr="00207C1F">
              <w:t>):</w:t>
            </w:r>
            <w:r>
              <w:t xml:space="preserve"> подключение к тепловым сетям объекта капитального строительства, расположенного на данном земельном участке возможно от ЦТП № 12 после внесения его в Схему теплоснабжения МО «Город Магадан» на 2014-2029 и обращения с заявлением о заключении договора о подключении здания к системе теплоснабжения.</w:t>
            </w:r>
          </w:p>
          <w:p w:rsidR="00417938" w:rsidRDefault="00417938" w:rsidP="00FF1D51">
            <w:pPr>
              <w:spacing w:line="240" w:lineRule="auto"/>
              <w:jc w:val="both"/>
            </w:pPr>
            <w:r w:rsidRPr="00051875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06.05.2019 № 2763</w:t>
            </w:r>
            <w:r w:rsidRPr="00207C1F">
              <w:t xml:space="preserve">): </w:t>
            </w:r>
            <w:r>
              <w:t>в</w:t>
            </w:r>
            <w:r w:rsidRPr="00207C1F">
              <w:t>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ВК-2831, максимальное разрешенное водопотребление на хоз. – питьевые нужды – 0,5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</w:p>
          <w:p w:rsidR="00417938" w:rsidRDefault="00417938" w:rsidP="00FF1D51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КК-94, максимально разрешенный сброс в точке подключения – 0,5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 </w:t>
            </w:r>
          </w:p>
          <w:p w:rsidR="00417938" w:rsidRPr="002C2986" w:rsidRDefault="00417938" w:rsidP="00FF1D5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17938" w:rsidP="004D767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</w:t>
            </w:r>
            <w:r>
              <w:t>-  3 года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D7670" w:rsidP="00FF1D51">
            <w:pPr>
              <w:autoSpaceDE w:val="0"/>
              <w:autoSpaceDN w:val="0"/>
              <w:spacing w:line="240" w:lineRule="auto"/>
              <w:jc w:val="both"/>
            </w:pPr>
            <w:r>
              <w:t>На земельном участке расположены железобетонные плиты</w:t>
            </w:r>
          </w:p>
        </w:tc>
      </w:tr>
    </w:tbl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Начальный размер годовой арендной платы:  </w:t>
      </w:r>
      <w:r w:rsidR="004D7670">
        <w:t xml:space="preserve">10000 </w:t>
      </w:r>
      <w:r w:rsidRPr="00692886">
        <w:t>(</w:t>
      </w:r>
      <w:r w:rsidR="004D7670">
        <w:t>десять тысяч</w:t>
      </w:r>
      <w:r w:rsidRPr="00692886">
        <w:t xml:space="preserve">) рублей 00 копеек (НДС не облагается).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Шаг аукциона:   </w:t>
      </w:r>
      <w:r w:rsidR="004D7670">
        <w:t xml:space="preserve">300 </w:t>
      </w:r>
      <w:r w:rsidRPr="00692886">
        <w:t>(</w:t>
      </w:r>
      <w:r w:rsidR="004D7670">
        <w:t>триста</w:t>
      </w:r>
      <w:r w:rsidRPr="00692886">
        <w:t xml:space="preserve">) рублей 00 копеек.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Задаток:  </w:t>
      </w:r>
      <w:r w:rsidR="004D7670">
        <w:t xml:space="preserve">10000 </w:t>
      </w:r>
      <w:r w:rsidRPr="00692886">
        <w:t>(</w:t>
      </w:r>
      <w:r w:rsidR="004D7670">
        <w:t>десять тысяч</w:t>
      </w:r>
      <w:r w:rsidRPr="00692886">
        <w:t xml:space="preserve">) рублей 00 копеек.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>Срок аренды земельного участка: 18 месяцев.</w:t>
      </w:r>
    </w:p>
    <w:p w:rsidR="00417938" w:rsidRDefault="00417938" w:rsidP="00417938">
      <w:pPr>
        <w:spacing w:line="240" w:lineRule="auto"/>
        <w:ind w:firstLine="567"/>
        <w:jc w:val="both"/>
      </w:pPr>
      <w:bookmarkStart w:id="0" w:name="_GoBack"/>
      <w:bookmarkEnd w:id="0"/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lastRenderedPageBreak/>
        <w:t xml:space="preserve">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FD09-C41D-40A3-A08C-F3E4764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2019-11-10T23:14:00Z</cp:lastPrinted>
  <dcterms:created xsi:type="dcterms:W3CDTF">2019-11-10T22:40:00Z</dcterms:created>
  <dcterms:modified xsi:type="dcterms:W3CDTF">2019-11-10T23:16:00Z</dcterms:modified>
</cp:coreProperties>
</file>