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C26D49">
        <w:rPr>
          <w:b/>
          <w:sz w:val="22"/>
          <w:szCs w:val="22"/>
          <w:u w:val="single"/>
        </w:rPr>
        <w:t>29</w:t>
      </w:r>
      <w:r w:rsidR="00EC6619">
        <w:rPr>
          <w:b/>
          <w:sz w:val="22"/>
          <w:szCs w:val="22"/>
          <w:u w:val="single"/>
        </w:rPr>
        <w:t xml:space="preserve"> </w:t>
      </w:r>
      <w:r w:rsidR="00C26D49">
        <w:rPr>
          <w:b/>
          <w:sz w:val="22"/>
          <w:szCs w:val="22"/>
          <w:u w:val="single"/>
        </w:rPr>
        <w:t xml:space="preserve">ЯНВАРЯ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C26D49">
        <w:rPr>
          <w:b/>
        </w:rPr>
        <w:t>20</w:t>
      </w:r>
      <w:r w:rsidRPr="00892F08">
        <w:rPr>
          <w:b/>
        </w:rPr>
        <w:t xml:space="preserve"> </w:t>
      </w:r>
      <w:r w:rsidR="00C26D49">
        <w:rPr>
          <w:b/>
        </w:rPr>
        <w:t xml:space="preserve">ДЕКАБРЯ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C26D49">
        <w:rPr>
          <w:b/>
        </w:rPr>
        <w:t xml:space="preserve"> 22</w:t>
      </w:r>
      <w:r w:rsidRPr="00892F08">
        <w:rPr>
          <w:b/>
        </w:rPr>
        <w:t xml:space="preserve"> </w:t>
      </w:r>
      <w:r w:rsidR="00C26D49">
        <w:rPr>
          <w:b/>
        </w:rPr>
        <w:t xml:space="preserve">ЯНВАРЯ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D7A23">
        <w:rPr>
          <w:b/>
        </w:rPr>
        <w:t>24</w:t>
      </w:r>
      <w:r w:rsidRPr="00584E70">
        <w:rPr>
          <w:b/>
        </w:rPr>
        <w:t xml:space="preserve"> </w:t>
      </w:r>
      <w:r w:rsidR="005D7A23">
        <w:rPr>
          <w:b/>
        </w:rPr>
        <w:t>января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5D7A23" w:rsidRDefault="005D7A23" w:rsidP="005D7A2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 w:rsidR="00FE14C8"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030305:117</w:t>
      </w:r>
      <w:r w:rsidRPr="00B25DAB">
        <w:rPr>
          <w:b/>
        </w:rPr>
        <w:t xml:space="preserve"> площадью </w:t>
      </w:r>
      <w:r>
        <w:rPr>
          <w:b/>
        </w:rPr>
        <w:t xml:space="preserve">2470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ул. </w:t>
      </w:r>
      <w:proofErr w:type="gramStart"/>
      <w:r>
        <w:rPr>
          <w:b/>
        </w:rPr>
        <w:t>Южная</w:t>
      </w:r>
      <w:proofErr w:type="gramEnd"/>
      <w:r>
        <w:rPr>
          <w:b/>
        </w:rPr>
        <w:t>, дом 12.</w:t>
      </w:r>
    </w:p>
    <w:p w:rsidR="005D7A23" w:rsidRPr="00B25DAB" w:rsidRDefault="005D7A23" w:rsidP="005D7A2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FE14C8">
        <w:t>11 октября</w:t>
      </w:r>
      <w:r>
        <w:t xml:space="preserve"> 2019</w:t>
      </w:r>
      <w:r w:rsidRPr="00B25DAB">
        <w:t xml:space="preserve"> года № </w:t>
      </w:r>
      <w:r w:rsidR="00FE14C8">
        <w:t>394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 xml:space="preserve"> по улице Южной, дом 12»</w:t>
      </w:r>
    </w:p>
    <w:p w:rsidR="005D7A23" w:rsidRPr="006A5899" w:rsidRDefault="005D7A23" w:rsidP="005D7A23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997"/>
      </w:tblGrid>
      <w:tr w:rsidR="005D7A23" w:rsidRPr="00B25DAB" w:rsidTr="00CA285D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>
              <w:t>49:09:030305:117</w:t>
            </w:r>
          </w:p>
        </w:tc>
      </w:tr>
      <w:tr w:rsidR="005D7A23" w:rsidRPr="00B25DAB" w:rsidTr="00CA285D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997" w:type="dxa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5D7A23" w:rsidRPr="00B25DAB" w:rsidTr="00CA285D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5D7A23" w:rsidRPr="00B25DAB" w:rsidTr="00CA285D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Южная, дом 12.</w:t>
            </w:r>
          </w:p>
        </w:tc>
      </w:tr>
      <w:tr w:rsidR="005D7A23" w:rsidRPr="00B25DAB" w:rsidTr="00CA285D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>
              <w:t>2470 кв. м</w:t>
            </w:r>
          </w:p>
        </w:tc>
      </w:tr>
      <w:tr w:rsidR="005D7A23" w:rsidRPr="00B25DAB" w:rsidTr="00CA285D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97" w:type="dxa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D7A23" w:rsidRPr="00B25DAB" w:rsidTr="00CA285D">
        <w:trPr>
          <w:trHeight w:val="498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5D7A23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97" w:type="dxa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D7A23" w:rsidRPr="00B25DAB" w:rsidTr="00CA285D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D7A23" w:rsidRPr="00B25DAB" w:rsidTr="00CA285D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D7A23" w:rsidRPr="00B25DAB" w:rsidTr="00CA285D">
        <w:trPr>
          <w:jc w:val="center"/>
        </w:trPr>
        <w:tc>
          <w:tcPr>
            <w:tcW w:w="10498" w:type="dxa"/>
            <w:gridSpan w:val="3"/>
            <w:shd w:val="clear" w:color="auto" w:fill="auto"/>
          </w:tcPr>
          <w:p w:rsidR="005D7A23" w:rsidRPr="006A5899" w:rsidRDefault="005D7A23" w:rsidP="00CA285D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5D7A23" w:rsidRPr="00B25DAB" w:rsidTr="00CA285D">
        <w:trPr>
          <w:jc w:val="center"/>
        </w:trPr>
        <w:tc>
          <w:tcPr>
            <w:tcW w:w="4465" w:type="dxa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5D7A23" w:rsidRDefault="005D7A23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Объекты придорожного сервиса: этажность не более 4 этажей, максимальный процент застройки – 70; отступ от красной линии - по границам красных линий; минимальный процент озеленения – 20.</w:t>
            </w:r>
          </w:p>
          <w:p w:rsidR="005D7A23" w:rsidRDefault="005D7A23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5D7A23" w:rsidRDefault="005D7A23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B69A6">
              <w:t>Объекты гаражного назначения</w:t>
            </w:r>
            <w:r>
              <w:t>: этажность зданий не более 3 этажей; максимальный процент застройки – 80.</w:t>
            </w:r>
          </w:p>
          <w:p w:rsidR="005D7A23" w:rsidRDefault="005D7A23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</w:t>
            </w:r>
            <w:r w:rsidRPr="001B69A6">
              <w:t>оммунальное обслуживание</w:t>
            </w:r>
            <w:r>
              <w:t>: этажность не более 3 этажей, максимальный процент застройки – 70; отступ от красной линии - не менее 5 м; минимальный процент озеленения - 10-15.</w:t>
            </w:r>
          </w:p>
          <w:p w:rsidR="005D7A23" w:rsidRPr="00B25DAB" w:rsidRDefault="005D7A23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использования.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5D7A23" w:rsidRPr="00B25DAB" w:rsidTr="00CA285D">
        <w:trPr>
          <w:jc w:val="center"/>
        </w:trPr>
        <w:tc>
          <w:tcPr>
            <w:tcW w:w="4465" w:type="dxa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5D7A23" w:rsidRPr="00D66522" w:rsidRDefault="005D7A23" w:rsidP="00CA285D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29.05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>08-1132/7</w:t>
            </w:r>
            <w:r w:rsidRPr="00D66522">
              <w:t xml:space="preserve">): </w:t>
            </w:r>
            <w:r>
              <w:t xml:space="preserve">схемой теплоснабжения МО «Город Магадан» до 2029 года не предусмотрено теплоснабжение объекта капитального строительства на испрашиваемом земельном участке. Теплоснабжение </w:t>
            </w:r>
            <w:r w:rsidRPr="00D66522">
              <w:t xml:space="preserve">объекта капитального </w:t>
            </w:r>
            <w:proofErr w:type="gramStart"/>
            <w:r w:rsidRPr="00D66522">
              <w:t>строительства</w:t>
            </w:r>
            <w:proofErr w:type="gramEnd"/>
            <w:r w:rsidRPr="00D66522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5D7A23" w:rsidRPr="006322C8" w:rsidRDefault="005D7A23" w:rsidP="00CA285D">
            <w:pPr>
              <w:spacing w:line="240" w:lineRule="auto"/>
              <w:jc w:val="both"/>
            </w:pPr>
            <w:r w:rsidRPr="00D66522">
              <w:t xml:space="preserve">Водоснабжение и канализация (письмо МУП г. Магадана «Водоканал» от </w:t>
            </w:r>
            <w:r>
              <w:t>27.05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>3340</w:t>
            </w:r>
            <w:r w:rsidRPr="00D66522">
              <w:t xml:space="preserve">): </w:t>
            </w:r>
            <w:proofErr w:type="gramStart"/>
            <w:r w:rsidRPr="00B80197">
              <w:t>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ВК-529, максимальное разрешенное водопотребление – 1 куб. м. Канализация: место </w:t>
            </w:r>
            <w:r>
              <w:lastRenderedPageBreak/>
              <w:t>присоединения к канализации,  находящейся в хозяйственном ведении МУП г. Магадана «Водоканал» - КК-7041,  максимальное разрешенное водоотведение стоков – 1 куб. м в сутки.</w:t>
            </w:r>
            <w:proofErr w:type="gramEnd"/>
            <w:r>
              <w:t xml:space="preserve">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5D7A23" w:rsidRPr="00B25DAB" w:rsidTr="00CA285D">
        <w:trPr>
          <w:jc w:val="center"/>
        </w:trPr>
        <w:tc>
          <w:tcPr>
            <w:tcW w:w="4465" w:type="dxa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5D7A23" w:rsidRPr="00B25DAB" w:rsidTr="00CA285D">
        <w:trPr>
          <w:jc w:val="center"/>
        </w:trPr>
        <w:tc>
          <w:tcPr>
            <w:tcW w:w="4465" w:type="dxa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5D7A23" w:rsidRPr="00B25DAB" w:rsidRDefault="00FE14C8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D7A23" w:rsidRPr="00B25DAB" w:rsidTr="00CA285D">
        <w:trPr>
          <w:jc w:val="center"/>
        </w:trPr>
        <w:tc>
          <w:tcPr>
            <w:tcW w:w="4465" w:type="dxa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5D7A23" w:rsidRPr="006028C8" w:rsidRDefault="00FE14C8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D7A23" w:rsidRPr="00B25DAB" w:rsidTr="00CA285D">
        <w:trPr>
          <w:jc w:val="center"/>
        </w:trPr>
        <w:tc>
          <w:tcPr>
            <w:tcW w:w="4465" w:type="dxa"/>
            <w:shd w:val="clear" w:color="auto" w:fill="auto"/>
          </w:tcPr>
          <w:p w:rsidR="005D7A23" w:rsidRPr="00B25DAB" w:rsidRDefault="005D7A23" w:rsidP="00CA285D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5D7A23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письмом МУП г. Магадана «Водоканал» от 27.05.2019 № 3340 в связи с размещением земельного участка на существующих сетях водопровода и канализации, необходимо до начала строительства объекта:</w:t>
            </w:r>
          </w:p>
          <w:p w:rsidR="005D7A23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>
              <w:t>- разработать проект и вынести существующие сети водопровода и канализации за пределы земельного участка.</w:t>
            </w:r>
          </w:p>
          <w:p w:rsidR="005D7A23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>
              <w:t>- проект на выноску сетей канализации согласовать с МУП г. Магадана «Водоканал».</w:t>
            </w:r>
          </w:p>
          <w:p w:rsidR="005D7A23" w:rsidRPr="00B25DAB" w:rsidRDefault="005D7A23" w:rsidP="00CA285D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при посадке здания обеспечить охранную зону для сетей водопровода не менее 5 метров по обе стороны от трубопровода, канализации не менее 3 метров по обе стороны от трубопровода.  </w:t>
            </w:r>
          </w:p>
        </w:tc>
      </w:tr>
    </w:tbl>
    <w:p w:rsidR="005D7A23" w:rsidRPr="00DC4542" w:rsidRDefault="005D7A23" w:rsidP="005D7A2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FE14C8">
        <w:t xml:space="preserve">207000 </w:t>
      </w:r>
      <w:r w:rsidRPr="00DC4542">
        <w:t>(</w:t>
      </w:r>
      <w:r w:rsidR="00FE14C8">
        <w:t>двести семь тысяч</w:t>
      </w:r>
      <w:r w:rsidRPr="00DC4542">
        <w:t xml:space="preserve">) рублей 00 копеек (НДС не облагается). </w:t>
      </w:r>
    </w:p>
    <w:p w:rsidR="005D7A23" w:rsidRPr="00DC4542" w:rsidRDefault="005D7A23" w:rsidP="005D7A2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FE14C8">
        <w:t xml:space="preserve">6000 </w:t>
      </w:r>
      <w:r w:rsidRPr="00DC4542">
        <w:t>(</w:t>
      </w:r>
      <w:r w:rsidR="00FE14C8">
        <w:t>шесть тысяч</w:t>
      </w:r>
      <w:r w:rsidRPr="00DC4542">
        <w:t xml:space="preserve">) рублей 00 копеек. </w:t>
      </w:r>
    </w:p>
    <w:p w:rsidR="005D7A23" w:rsidRPr="00DC4542" w:rsidRDefault="005D7A23" w:rsidP="005D7A2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FE14C8">
        <w:t xml:space="preserve">207000 </w:t>
      </w:r>
      <w:r w:rsidRPr="00DC4542">
        <w:t>(</w:t>
      </w:r>
      <w:r w:rsidR="00FE14C8">
        <w:t>двести семь тысяч</w:t>
      </w:r>
      <w:r w:rsidRPr="00DC4542">
        <w:t xml:space="preserve">) рублей 00 копеек. </w:t>
      </w:r>
    </w:p>
    <w:p w:rsidR="005D7A23" w:rsidRPr="00DC4542" w:rsidRDefault="005D7A23" w:rsidP="005D7A23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54</w:t>
      </w:r>
      <w:r w:rsidRPr="00DC4542">
        <w:t xml:space="preserve"> месяц</w:t>
      </w:r>
      <w:r>
        <w:t>а</w:t>
      </w:r>
      <w:r w:rsidRPr="00DC4542">
        <w:t>.</w:t>
      </w:r>
    </w:p>
    <w:p w:rsidR="005D7A23" w:rsidRDefault="005D7A23" w:rsidP="006139D8">
      <w:pPr>
        <w:autoSpaceDE w:val="0"/>
        <w:autoSpaceDN w:val="0"/>
        <w:spacing w:line="240" w:lineRule="auto"/>
        <w:ind w:right="-2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2795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34AD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2009-BFB5-46F4-9C37-5B046F14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2019-12-16T03:21:00Z</cp:lastPrinted>
  <dcterms:created xsi:type="dcterms:W3CDTF">2019-12-17T23:07:00Z</dcterms:created>
  <dcterms:modified xsi:type="dcterms:W3CDTF">2019-12-17T23:08:00Z</dcterms:modified>
</cp:coreProperties>
</file>