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BB3BD4" w:rsidRPr="00B25DAB" w:rsidRDefault="00BB3BD4" w:rsidP="00BB3B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030916:182 </w:t>
      </w:r>
      <w:r w:rsidRPr="00B25DAB">
        <w:rPr>
          <w:b/>
        </w:rPr>
        <w:t xml:space="preserve"> площадью </w:t>
      </w:r>
      <w:r>
        <w:rPr>
          <w:b/>
        </w:rPr>
        <w:t>144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 улицы </w:t>
      </w:r>
      <w:proofErr w:type="spellStart"/>
      <w:r>
        <w:rPr>
          <w:b/>
        </w:rPr>
        <w:t>Рыбозаводской</w:t>
      </w:r>
      <w:proofErr w:type="spellEnd"/>
      <w:r>
        <w:rPr>
          <w:b/>
        </w:rPr>
        <w:t xml:space="preserve">, 21А. </w:t>
      </w:r>
      <w:r w:rsidRPr="00B25DAB">
        <w:rPr>
          <w:b/>
        </w:rPr>
        <w:t xml:space="preserve"> </w:t>
      </w:r>
    </w:p>
    <w:p w:rsidR="00BB3BD4" w:rsidRPr="00B25DAB" w:rsidRDefault="00BB3BD4" w:rsidP="00BB3BD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06 ноября 2019 года </w:t>
      </w:r>
      <w:r w:rsidRPr="00B25DAB">
        <w:t xml:space="preserve">№ </w:t>
      </w:r>
      <w:r>
        <w:t xml:space="preserve">446-р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 </w:t>
      </w:r>
      <w:r w:rsidRPr="00B25DAB">
        <w:t>в городе Магадане</w:t>
      </w:r>
      <w:r>
        <w:t xml:space="preserve"> в районе улицы </w:t>
      </w:r>
      <w:proofErr w:type="spellStart"/>
      <w:r>
        <w:t>Рыбозаводской</w:t>
      </w:r>
      <w:proofErr w:type="spellEnd"/>
      <w:r>
        <w:t>, 21А»</w:t>
      </w:r>
    </w:p>
    <w:p w:rsidR="00BB3BD4" w:rsidRPr="00BB3BD4" w:rsidRDefault="00BB3BD4" w:rsidP="00BB3BD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B3BD4">
        <w:t>Информация о предмете аукциона: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770"/>
      </w:tblGrid>
      <w:tr w:rsidR="00BB3BD4" w:rsidRPr="00B25DAB" w:rsidTr="00BB3BD4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>
              <w:t>49:09:030916:182</w:t>
            </w:r>
          </w:p>
        </w:tc>
      </w:tr>
      <w:tr w:rsidR="00BB3BD4" w:rsidRPr="00B25DAB" w:rsidTr="00BB3BD4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BB3BD4" w:rsidRPr="00B25DAB" w:rsidTr="00BB3BD4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3293" w:type="pct"/>
            <w:shd w:val="clear" w:color="auto" w:fill="auto"/>
          </w:tcPr>
          <w:p w:rsidR="00BB3BD4" w:rsidRPr="0032425D" w:rsidRDefault="00BB3BD4" w:rsidP="00F277A0">
            <w:pPr>
              <w:suppressAutoHyphens/>
              <w:spacing w:line="240" w:lineRule="auto"/>
              <w:jc w:val="both"/>
            </w:pPr>
            <w:proofErr w:type="gramStart"/>
            <w:r w:rsidRPr="0032425D">
              <w:t>Коммунальное обслуживание, социальное обслуживание, бытовое обслуживание, здравоохранение, общественное питание, обеспечение внутреннего правопорядка, среднеэтажная жилая застройка, культурное развитие, общественное управление, банковская и страховая деятельность, гостиничное обслуживание, деловое управление, развлечения, обслуживание автотранспорта, спорт</w:t>
            </w:r>
            <w:proofErr w:type="gramEnd"/>
          </w:p>
        </w:tc>
      </w:tr>
      <w:tr w:rsidR="00BB3BD4" w:rsidRPr="00B25DAB" w:rsidTr="00BB3BD4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</w:pPr>
            <w:r>
              <w:t xml:space="preserve">г. Магадан, в районе ул. </w:t>
            </w:r>
            <w:proofErr w:type="spellStart"/>
            <w:r>
              <w:t>Рыбозаводской</w:t>
            </w:r>
            <w:proofErr w:type="spellEnd"/>
            <w:r>
              <w:t>, 21А</w:t>
            </w:r>
          </w:p>
        </w:tc>
      </w:tr>
      <w:tr w:rsidR="00BB3BD4" w:rsidRPr="00B25DAB" w:rsidTr="00BB3BD4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>
              <w:t>144 кв. м</w:t>
            </w:r>
          </w:p>
        </w:tc>
      </w:tr>
      <w:tr w:rsidR="00BB3BD4" w:rsidRPr="00B25DAB" w:rsidTr="00BB3BD4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B3BD4" w:rsidRPr="00B25DAB" w:rsidTr="00BB3BD4">
        <w:trPr>
          <w:trHeight w:val="498"/>
          <w:jc w:val="center"/>
        </w:trPr>
        <w:tc>
          <w:tcPr>
            <w:tcW w:w="1707" w:type="pct"/>
            <w:shd w:val="clear" w:color="auto" w:fill="auto"/>
          </w:tcPr>
          <w:p w:rsidR="00BB3BD4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3BD4" w:rsidRPr="00B25DAB" w:rsidTr="00BB3BD4">
        <w:trPr>
          <w:trHeight w:val="303"/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3BD4" w:rsidRPr="00B25DAB" w:rsidTr="00BB3BD4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3293" w:type="pct"/>
            <w:shd w:val="clear" w:color="auto" w:fill="auto"/>
          </w:tcPr>
          <w:p w:rsidR="009311F2" w:rsidRPr="00F277A0" w:rsidRDefault="009311F2" w:rsidP="00F277A0">
            <w:pPr>
              <w:pStyle w:val="ConsPlusNormal"/>
              <w:jc w:val="both"/>
              <w:rPr>
                <w:b w:val="0"/>
              </w:rPr>
            </w:pPr>
            <w:r w:rsidRPr="00F277A0">
              <w:rPr>
                <w:b w:val="0"/>
              </w:rPr>
              <w:t xml:space="preserve">Земельный участок расположен в зоне с особыми условиями использования территории с кадастровым номером 49:00-6.127 «Часть водоохранной зоны Охотского моря». </w:t>
            </w:r>
            <w:proofErr w:type="gramStart"/>
            <w:r w:rsidR="00F277A0" w:rsidRPr="00F277A0">
              <w:rPr>
                <w:b w:val="0"/>
              </w:rPr>
              <w:t>В</w:t>
            </w:r>
            <w:r w:rsidRPr="00F277A0">
              <w:rPr>
                <w:b w:val="0"/>
              </w:rPr>
              <w:t>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  <w:r w:rsidR="00F277A0" w:rsidRPr="00F277A0">
              <w:rPr>
                <w:b w:val="0"/>
              </w:rPr>
              <w:t xml:space="preserve"> </w:t>
            </w:r>
            <w:r w:rsidRPr="00F277A0">
              <w:rPr>
                <w:b w:val="0"/>
              </w:rPr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</w:t>
            </w:r>
            <w:r>
              <w:lastRenderedPageBreak/>
              <w:t xml:space="preserve">ремонта транспортных средств, осуществление мойки транспортных средств; </w:t>
            </w:r>
            <w:proofErr w:type="gramEnd"/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; </w:t>
            </w:r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9311F2" w:rsidRDefault="009311F2" w:rsidP="00F277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>
              <w:rPr>
                <w:color w:val="000000" w:themeColor="text1"/>
              </w:rPr>
              <w:t xml:space="preserve">со </w:t>
            </w:r>
            <w:hyperlink r:id="rId7" w:history="1">
              <w:r>
                <w:rPr>
                  <w:rStyle w:val="a9"/>
                  <w:color w:val="000000" w:themeColor="text1"/>
                </w:rPr>
                <w:t>статьей 19.1</w:t>
              </w:r>
            </w:hyperlink>
            <w:r>
              <w:t xml:space="preserve"> Закона Российской Федерации от 21</w:t>
            </w:r>
            <w:proofErr w:type="gramEnd"/>
            <w:r>
              <w:t xml:space="preserve"> февраля 1992 года № 2395-1 «О недрах»). </w:t>
            </w:r>
          </w:p>
          <w:p w:rsidR="00BB3BD4" w:rsidRPr="00B25DAB" w:rsidRDefault="00F277A0" w:rsidP="00D01862">
            <w:pPr>
              <w:tabs>
                <w:tab w:val="left" w:pos="142"/>
              </w:tabs>
              <w:spacing w:line="240" w:lineRule="auto"/>
              <w:ind w:right="118"/>
            </w:pPr>
            <w:r>
              <w:t>Кроме того, о</w:t>
            </w:r>
            <w:r w:rsidR="00BB3BD4">
              <w:t>граничения использования земельных участков и объектов капитального строительства устан</w:t>
            </w:r>
            <w:r w:rsidR="00D01862">
              <w:t>о</w:t>
            </w:r>
            <w:r w:rsidR="00BB3BD4">
              <w:t>в</w:t>
            </w:r>
            <w:r>
              <w:t xml:space="preserve">лены </w:t>
            </w:r>
            <w:r w:rsidR="00BB3BD4">
              <w:t xml:space="preserve"> СанПиН 2.1.5.980-00 «Гигиенические требования к охране поверхностных вод». </w:t>
            </w:r>
          </w:p>
        </w:tc>
      </w:tr>
      <w:tr w:rsidR="00BB3BD4" w:rsidRPr="00B25DAB" w:rsidTr="00F277A0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B3BD4" w:rsidRPr="00BB3BD4" w:rsidRDefault="00BB3BD4" w:rsidP="00F277A0">
            <w:pPr>
              <w:autoSpaceDE w:val="0"/>
              <w:autoSpaceDN w:val="0"/>
              <w:spacing w:line="240" w:lineRule="auto"/>
              <w:jc w:val="center"/>
            </w:pPr>
            <w:r w:rsidRPr="00BB3BD4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center"/>
            </w:pPr>
            <w:r w:rsidRPr="00BB3BD4">
              <w:t>предусмотрено строительство</w:t>
            </w:r>
          </w:p>
        </w:tc>
      </w:tr>
      <w:tr w:rsidR="00BB3BD4" w:rsidRPr="00B25DAB" w:rsidTr="00870856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3293" w:type="pct"/>
            <w:shd w:val="clear" w:color="auto" w:fill="auto"/>
          </w:tcPr>
          <w:p w:rsidR="00870856" w:rsidRDefault="00BB3BD4" w:rsidP="00870856">
            <w:pPr>
              <w:spacing w:line="240" w:lineRule="auto"/>
            </w:pPr>
            <w:r w:rsidRPr="00797567">
              <w:t>Коммунальное обслуживание</w:t>
            </w:r>
            <w:r w:rsidRPr="00FE486B">
              <w:t>: э</w:t>
            </w:r>
            <w:r w:rsidRPr="00797567">
              <w:t>тажность не более 4 этажей</w:t>
            </w:r>
            <w:r w:rsidR="00870856">
              <w:t>; м</w:t>
            </w:r>
            <w:r w:rsidRPr="00797567">
              <w:t>акс</w:t>
            </w:r>
            <w:r>
              <w:t>имальный процент застройки – 70, о</w:t>
            </w:r>
            <w:r w:rsidRPr="00797567">
              <w:t>тступ о</w:t>
            </w:r>
            <w:r>
              <w:t>т красной линии - не менее 5 м, м</w:t>
            </w:r>
            <w:r w:rsidRPr="00797567">
              <w:t>инимальный процент озеленения- 10-15</w:t>
            </w:r>
            <w:r w:rsidR="00870856">
              <w:t xml:space="preserve">. </w:t>
            </w:r>
          </w:p>
          <w:p w:rsidR="00870856" w:rsidRDefault="00BB3BD4" w:rsidP="00870856">
            <w:pPr>
              <w:spacing w:line="240" w:lineRule="auto"/>
            </w:pPr>
            <w:r w:rsidRPr="00177F48">
              <w:t>Социальное обслуживание:  э</w:t>
            </w:r>
            <w:r>
              <w:t>тажность не более 6 этажей, м</w:t>
            </w:r>
            <w:r w:rsidRPr="00797567">
              <w:t>инимальный процент озеленения земельного</w:t>
            </w:r>
            <w:r>
              <w:t xml:space="preserve"> участка – 60</w:t>
            </w:r>
            <w:r w:rsidR="00870856">
              <w:t>.</w:t>
            </w:r>
            <w:r>
              <w:t xml:space="preserve"> </w:t>
            </w:r>
          </w:p>
          <w:p w:rsidR="00870856" w:rsidRDefault="00BB3BD4" w:rsidP="00870856">
            <w:pPr>
              <w:spacing w:line="240" w:lineRule="auto"/>
            </w:pPr>
            <w:r w:rsidRPr="00177F48">
              <w:t>Бытовое обслуживание</w:t>
            </w:r>
            <w:r>
              <w:t>: этажность не более 5 этажей, м</w:t>
            </w:r>
            <w:r w:rsidRPr="00797567">
              <w:t>акс</w:t>
            </w:r>
            <w:r>
              <w:t>имальный процент застройки – 50,       м</w:t>
            </w:r>
            <w:r w:rsidRPr="00797567">
              <w:t>инимальны</w:t>
            </w:r>
            <w:r>
              <w:t>й отступ от красной линии - 5 м, м</w:t>
            </w:r>
            <w:r w:rsidRPr="00797567">
              <w:t xml:space="preserve">инимальный процент озеленения </w:t>
            </w:r>
            <w:r w:rsidRPr="00FE486B">
              <w:t>–</w:t>
            </w:r>
            <w:r w:rsidRPr="00797567">
              <w:t xml:space="preserve"> 3</w:t>
            </w:r>
            <w:r>
              <w:t>0</w:t>
            </w:r>
            <w:r w:rsidR="00870856">
              <w:t>.</w:t>
            </w:r>
            <w:r w:rsidRPr="00177F48">
              <w:t xml:space="preserve"> </w:t>
            </w:r>
          </w:p>
          <w:p w:rsidR="00870856" w:rsidRDefault="00BB3BD4" w:rsidP="00870856">
            <w:pPr>
              <w:spacing w:line="240" w:lineRule="auto"/>
            </w:pPr>
            <w:r w:rsidRPr="00177F48">
              <w:t>Здравоохранение:</w:t>
            </w:r>
            <w:r>
              <w:t xml:space="preserve"> э</w:t>
            </w:r>
            <w:r w:rsidRPr="00FE486B">
              <w:t xml:space="preserve">тажность не более 6 </w:t>
            </w:r>
            <w:r w:rsidRPr="00177F48">
              <w:t>этажей</w:t>
            </w:r>
            <w:r>
              <w:t xml:space="preserve">, </w:t>
            </w:r>
            <w:r w:rsidRPr="00177F48">
              <w:t xml:space="preserve"> п</w:t>
            </w:r>
            <w:r>
              <w:t xml:space="preserve">роцент </w:t>
            </w:r>
            <w:r w:rsidRPr="00797567">
              <w:t>озеле</w:t>
            </w:r>
            <w:r>
              <w:t>нения земельного участка 20-30, м</w:t>
            </w:r>
            <w:r w:rsidRPr="00797567">
              <w:t xml:space="preserve">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7567">
                <w:t>5 м</w:t>
              </w:r>
            </w:smartTag>
            <w:r w:rsidRPr="00177F48">
              <w:t>;</w:t>
            </w:r>
            <w:r>
              <w:t xml:space="preserve">    </w:t>
            </w:r>
            <w:r w:rsidRPr="001D4AE1">
              <w:t>Общественное питание</w:t>
            </w:r>
            <w:r w:rsidRPr="00177F48">
              <w:t>: э</w:t>
            </w:r>
            <w:r>
              <w:t>тажность не более 6 этажей, о</w:t>
            </w:r>
            <w:r w:rsidRPr="00797567">
              <w:t>тдельно стоящие, встроено пристроенные объекты в основные вида использования.</w:t>
            </w:r>
            <w:r w:rsidRPr="001D4AE1">
              <w:t xml:space="preserve"> </w:t>
            </w:r>
            <w:r>
              <w:t xml:space="preserve">   Обеспечение в</w:t>
            </w:r>
            <w:r w:rsidRPr="001D4AE1">
              <w:t xml:space="preserve">нутреннего правопорядка: </w:t>
            </w:r>
            <w:r>
              <w:t>э</w:t>
            </w:r>
            <w:r w:rsidRPr="00797567">
              <w:t>тажность н</w:t>
            </w:r>
            <w:r>
              <w:t>е более 6 этажей, м</w:t>
            </w:r>
            <w:r w:rsidRPr="00797567">
              <w:t>инимальны</w:t>
            </w:r>
            <w:r>
              <w:t xml:space="preserve">й отступ от красной </w:t>
            </w:r>
            <w:r w:rsidRPr="001D4AE1">
              <w:t>линии - 5 м</w:t>
            </w:r>
            <w:r w:rsidR="00870856">
              <w:t>.</w:t>
            </w:r>
            <w:r>
              <w:t xml:space="preserve">  </w:t>
            </w:r>
            <w:r w:rsidRPr="001D4AE1">
              <w:t xml:space="preserve"> </w:t>
            </w:r>
          </w:p>
          <w:p w:rsidR="00870856" w:rsidRDefault="00BB3BD4" w:rsidP="00870856">
            <w:pPr>
              <w:spacing w:line="240" w:lineRule="auto"/>
            </w:pPr>
            <w:proofErr w:type="gramStart"/>
            <w:r w:rsidRPr="001D4AE1">
              <w:t>Среднеэтажная жилая застройка: э</w:t>
            </w:r>
            <w:r w:rsidRPr="00797567">
              <w:t>тажность о</w:t>
            </w:r>
            <w:r>
              <w:t>т 4 этажей и не более 8 этажей,  м</w:t>
            </w:r>
            <w:r w:rsidRPr="00797567">
              <w:t>инимальный</w:t>
            </w:r>
            <w:r>
              <w:t xml:space="preserve"> отступ от красной линии - 5 м, п</w:t>
            </w:r>
            <w:r w:rsidRPr="00797567">
              <w:t>о красной линии допускается в реконструированных кварталах размещение жилого дома с</w:t>
            </w:r>
            <w:r>
              <w:t xml:space="preserve">о встроенными в первый этаж или </w:t>
            </w:r>
            <w:r w:rsidRPr="00797567">
              <w:t>пристроенными помещениями общественного назначения, кроме объе</w:t>
            </w:r>
            <w:r>
              <w:t>ктов образования и просвещения, м</w:t>
            </w:r>
            <w:r w:rsidRPr="00797567">
              <w:t xml:space="preserve">инимальный процент озеленения земельного участка </w:t>
            </w:r>
            <w:r w:rsidRPr="001D4AE1">
              <w:t>–</w:t>
            </w:r>
            <w:r w:rsidRPr="00797567">
              <w:t xml:space="preserve"> 25</w:t>
            </w:r>
            <w:r w:rsidR="00870856">
              <w:t>.</w:t>
            </w:r>
            <w:r>
              <w:t xml:space="preserve"> </w:t>
            </w:r>
            <w:proofErr w:type="gramEnd"/>
          </w:p>
          <w:p w:rsidR="00870856" w:rsidRDefault="00BB3BD4" w:rsidP="00870856">
            <w:pPr>
              <w:spacing w:line="240" w:lineRule="auto"/>
            </w:pPr>
            <w:r w:rsidRPr="001D4AE1">
              <w:t xml:space="preserve">Культурное развитие: </w:t>
            </w:r>
            <w:r>
              <w:t>этажность не более 6 этажей, м</w:t>
            </w:r>
            <w:r w:rsidRPr="00797567">
              <w:t>акс</w:t>
            </w:r>
            <w:r>
              <w:t>имальный процент застройки – 50, о</w:t>
            </w:r>
            <w:r w:rsidRPr="00797567">
              <w:t>тступ от красной линии - не менее 5 м</w:t>
            </w:r>
            <w:r>
              <w:t>,</w:t>
            </w:r>
            <w:r w:rsidR="00870856">
              <w:t xml:space="preserve"> </w:t>
            </w:r>
            <w:r>
              <w:t>м</w:t>
            </w:r>
            <w:r w:rsidRPr="00797567">
              <w:t>инимальный процент озеленения- 20-30</w:t>
            </w:r>
            <w:r w:rsidR="00870856">
              <w:t>.</w:t>
            </w:r>
            <w:r w:rsidRPr="001D4AE1">
              <w:t xml:space="preserve"> </w:t>
            </w:r>
          </w:p>
          <w:p w:rsidR="00870856" w:rsidRDefault="00BB3BD4" w:rsidP="00870856">
            <w:pPr>
              <w:spacing w:line="240" w:lineRule="auto"/>
            </w:pPr>
            <w:r w:rsidRPr="001D4AE1">
              <w:t xml:space="preserve">Общественное управление: </w:t>
            </w:r>
            <w:r>
              <w:t>э</w:t>
            </w:r>
            <w:r w:rsidRPr="00797567">
              <w:t>тажность не бо</w:t>
            </w:r>
            <w:r>
              <w:t>лее 6 этажей, м</w:t>
            </w:r>
            <w:r w:rsidRPr="00797567">
              <w:t xml:space="preserve">аксимальный процент застройки </w:t>
            </w:r>
            <w:r>
              <w:t>–</w:t>
            </w:r>
            <w:r w:rsidRPr="00797567">
              <w:t xml:space="preserve"> 50</w:t>
            </w:r>
            <w:r>
              <w:t>, о</w:t>
            </w:r>
            <w:r w:rsidRPr="00797567">
              <w:t>тступ от красной линии - не менее 5 м</w:t>
            </w:r>
            <w:r>
              <w:t>,</w:t>
            </w:r>
            <w:r>
              <w:br/>
              <w:t>м</w:t>
            </w:r>
            <w:r w:rsidRPr="00797567">
              <w:t>инимальный процент озеленения- 20-30</w:t>
            </w:r>
            <w:r w:rsidR="00870856">
              <w:t>.</w:t>
            </w:r>
            <w:r>
              <w:t xml:space="preserve"> </w:t>
            </w:r>
            <w:r w:rsidRPr="001D4AE1">
              <w:t xml:space="preserve"> </w:t>
            </w:r>
          </w:p>
          <w:p w:rsidR="00870856" w:rsidRDefault="00BB3BD4" w:rsidP="00870856">
            <w:pPr>
              <w:spacing w:line="240" w:lineRule="auto"/>
            </w:pPr>
            <w:r w:rsidRPr="001D4AE1">
              <w:t xml:space="preserve">Банковская и страховая деятельность: </w:t>
            </w:r>
            <w:r>
              <w:t>э</w:t>
            </w:r>
            <w:r w:rsidRPr="00797567">
              <w:t>тажность не более 6 этажей</w:t>
            </w:r>
            <w:r>
              <w:t xml:space="preserve">  м</w:t>
            </w:r>
            <w:r w:rsidRPr="00797567">
              <w:t xml:space="preserve">аксимальный процент застройки </w:t>
            </w:r>
            <w:r>
              <w:t>–</w:t>
            </w:r>
            <w:r w:rsidRPr="00797567">
              <w:t xml:space="preserve"> 50</w:t>
            </w:r>
            <w:r>
              <w:t>, о</w:t>
            </w:r>
            <w:r w:rsidRPr="00797567">
              <w:t>тступ от красной линии - не менее 5 м</w:t>
            </w:r>
            <w:r w:rsidR="00870856">
              <w:t>.</w:t>
            </w:r>
            <w:r>
              <w:t xml:space="preserve"> </w:t>
            </w:r>
          </w:p>
          <w:p w:rsidR="00870856" w:rsidRDefault="00BB3BD4" w:rsidP="00870856">
            <w:pPr>
              <w:spacing w:line="240" w:lineRule="auto"/>
            </w:pPr>
            <w:r>
              <w:t>Гостиничное обслуживание</w:t>
            </w:r>
            <w:r w:rsidRPr="001D4AE1">
              <w:t xml:space="preserve">: </w:t>
            </w:r>
            <w:r>
              <w:t>этажность не более 6 этажей м</w:t>
            </w:r>
            <w:r w:rsidRPr="00797567">
              <w:t xml:space="preserve">аксимальный процент застройки </w:t>
            </w:r>
            <w:r>
              <w:t>–</w:t>
            </w:r>
            <w:r w:rsidRPr="00797567">
              <w:t xml:space="preserve"> 60</w:t>
            </w:r>
            <w:r>
              <w:t>, м</w:t>
            </w:r>
            <w:r w:rsidRPr="00797567">
              <w:t>инимальный отступ от красной линии - 5 м</w:t>
            </w:r>
            <w:r>
              <w:t>, м</w:t>
            </w:r>
            <w:r w:rsidRPr="00797567">
              <w:t xml:space="preserve">инимальный процент озеленения </w:t>
            </w:r>
            <w:r w:rsidRPr="001D4AE1">
              <w:t>–</w:t>
            </w:r>
            <w:r w:rsidRPr="00797567">
              <w:t xml:space="preserve"> 20</w:t>
            </w:r>
            <w:r w:rsidR="00870856">
              <w:t>.</w:t>
            </w:r>
            <w:r w:rsidRPr="001D4AE1">
              <w:t xml:space="preserve"> </w:t>
            </w:r>
          </w:p>
          <w:p w:rsidR="00870856" w:rsidRDefault="00BB3BD4" w:rsidP="00870856">
            <w:pPr>
              <w:spacing w:line="240" w:lineRule="auto"/>
            </w:pPr>
            <w:r w:rsidRPr="001D4AE1">
              <w:t>Деловое управление:  э</w:t>
            </w:r>
            <w:r>
              <w:t>тажность не более 10 этажей, м</w:t>
            </w:r>
            <w:r w:rsidRPr="00797567">
              <w:t xml:space="preserve">аксимальный процент застройки </w:t>
            </w:r>
            <w:r>
              <w:t>–</w:t>
            </w:r>
            <w:r w:rsidRPr="00797567">
              <w:t xml:space="preserve"> 50</w:t>
            </w:r>
            <w:r>
              <w:t>, о</w:t>
            </w:r>
            <w:r w:rsidRPr="00797567">
              <w:t>тступ от красной линии - не менее 5 м</w:t>
            </w:r>
            <w:r w:rsidR="00870856">
              <w:t>.</w:t>
            </w:r>
            <w:r>
              <w:t xml:space="preserve"> </w:t>
            </w:r>
          </w:p>
          <w:p w:rsidR="00870856" w:rsidRDefault="00BB3BD4" w:rsidP="00870856">
            <w:pPr>
              <w:spacing w:line="240" w:lineRule="auto"/>
            </w:pPr>
            <w:r w:rsidRPr="001D4AE1">
              <w:t xml:space="preserve">Развлечения: </w:t>
            </w:r>
            <w:r>
              <w:t>э</w:t>
            </w:r>
            <w:r w:rsidRPr="00797567">
              <w:t>та</w:t>
            </w:r>
            <w:r>
              <w:t>жность зданий не более 6 этажей, м</w:t>
            </w:r>
            <w:r w:rsidRPr="00797567">
              <w:t>акси</w:t>
            </w:r>
            <w:r>
              <w:t>мальный процент застройки – 60, о</w:t>
            </w:r>
            <w:r w:rsidRPr="00797567">
              <w:t>тступ от красной линии - не менее 5 м</w:t>
            </w:r>
            <w:r w:rsidR="00870856">
              <w:t>.</w:t>
            </w:r>
            <w:r>
              <w:t xml:space="preserve"> </w:t>
            </w:r>
          </w:p>
          <w:p w:rsidR="00BB3BD4" w:rsidRPr="00FE486B" w:rsidRDefault="00BB3BD4" w:rsidP="00870856">
            <w:pPr>
              <w:spacing w:line="240" w:lineRule="auto"/>
            </w:pPr>
            <w:r w:rsidRPr="00FE486B">
              <w:t>Обслуживание автотранспорта: этажность зданий не более 6 этажей, максимальный процент застройки – 80, открытые площадки с твердым покрытием (</w:t>
            </w:r>
            <w:r w:rsidRPr="001D4AE1">
              <w:t>асфальтовое, бетонное либо иное покрытие подобного типа)</w:t>
            </w:r>
            <w:r w:rsidR="00870856">
              <w:t>.</w:t>
            </w:r>
            <w:r>
              <w:t xml:space="preserve">  </w:t>
            </w:r>
            <w:r w:rsidRPr="001D4AE1">
              <w:t xml:space="preserve"> Спорт: </w:t>
            </w:r>
            <w:r>
              <w:t>этажность не более 4 этажей, м</w:t>
            </w:r>
            <w:r w:rsidRPr="00797567">
              <w:t>инимальный отступ от красной линии - 5 м.</w:t>
            </w:r>
          </w:p>
        </w:tc>
      </w:tr>
      <w:tr w:rsidR="00BB3BD4" w:rsidRPr="00B25DAB" w:rsidTr="00870856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3293" w:type="pct"/>
            <w:shd w:val="clear" w:color="auto" w:fill="auto"/>
          </w:tcPr>
          <w:p w:rsidR="00BB3BD4" w:rsidRPr="006322C8" w:rsidRDefault="00BB3BD4" w:rsidP="000F4D05">
            <w:pPr>
              <w:spacing w:line="240" w:lineRule="auto"/>
              <w:jc w:val="both"/>
            </w:pPr>
            <w:proofErr w:type="gramStart"/>
            <w:r w:rsidRPr="00870856">
              <w:t>Теплоснабжение</w:t>
            </w:r>
            <w:r w:rsidRPr="00B80197">
              <w:t xml:space="preserve"> (письмо МУП г. Магадана «Магадантеплосеть» от </w:t>
            </w:r>
            <w:r>
              <w:t>24</w:t>
            </w:r>
            <w:r w:rsidRPr="00B80197">
              <w:t>.</w:t>
            </w:r>
            <w:r>
              <w:t>04.2019</w:t>
            </w:r>
            <w:r w:rsidRPr="00B80197">
              <w:t xml:space="preserve"> № 08-</w:t>
            </w:r>
            <w:r>
              <w:t>08-886</w:t>
            </w:r>
            <w:r w:rsidRPr="00B80197">
              <w:t>):</w:t>
            </w:r>
            <w:r>
              <w:t xml:space="preserve"> схемой теплоснабжения МО «Город Магадан» до 2029 г. не предусмотрено теплоснабжение предполагаемого объекта капитального строительства на данном земельном участке, а также в связи с дефицитом тепловой мощности котельной № 21 теплоснабжение </w:t>
            </w:r>
            <w:r w:rsidR="000F4D05">
              <w:t>планируемого</w:t>
            </w:r>
            <w:r>
              <w:t xml:space="preserve"> объекта возможно от локального источника с установкой котла на твердом, жидком топливе или электрокотла.</w:t>
            </w:r>
            <w:proofErr w:type="gramEnd"/>
            <w:r>
              <w:t xml:space="preserve"> При решении установки электрокотла необходимо получить технические условия от электроснабжающей организации.</w:t>
            </w:r>
            <w:r w:rsidR="000F4D05">
              <w:t xml:space="preserve"> </w:t>
            </w:r>
            <w:r>
              <w:t xml:space="preserve">Подлежит дополнительному </w:t>
            </w:r>
            <w:r>
              <w:lastRenderedPageBreak/>
              <w:t>согласованию с балансодержателями (собственниками) рядом расположенных объектов для уточнения прохождения ведомственных сетей.</w:t>
            </w:r>
            <w:r w:rsidR="000F4D05">
              <w:t xml:space="preserve"> </w:t>
            </w:r>
            <w:r w:rsidRPr="000F4D05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28</w:t>
            </w:r>
            <w:r w:rsidRPr="00B80197">
              <w:t>.</w:t>
            </w:r>
            <w:r>
              <w:t>04</w:t>
            </w:r>
            <w:r w:rsidRPr="00B80197">
              <w:t>.201</w:t>
            </w:r>
            <w:r>
              <w:t>9 № 2681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ВК2693,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3,0 куб. м в сутки.</w:t>
            </w:r>
            <w:r w:rsidR="000F4D05">
              <w:t xml:space="preserve"> </w:t>
            </w:r>
            <w:r>
              <w:t>Ориентировочная протяженность линий подключения 51 м.</w:t>
            </w:r>
            <w:r w:rsidR="000F4D05">
              <w:t xml:space="preserve"> </w:t>
            </w:r>
            <w:r>
              <w:t>Канализация: место присоединения к канализации,  находящейся в хозяйственном ведении МУП г. Магадана «Водоканал» - КК-7734, максимально разрешенный сброс в точке подключения – 3,0 куб. м в сутки. Сброс веществ, материалов, отходов и сточных вод, указанных в Приложении №4 к Правилам холодного водоснабжения</w:t>
            </w:r>
            <w:r w:rsidR="000F4D05">
              <w:t xml:space="preserve"> и водоотведения</w:t>
            </w:r>
            <w:r>
              <w:t>, утвержденных П</w:t>
            </w:r>
            <w:r w:rsidR="000F4D05">
              <w:t xml:space="preserve">остановлением </w:t>
            </w:r>
            <w:r>
              <w:t>П</w:t>
            </w:r>
            <w:r w:rsidR="000F4D05">
              <w:t>равительства Российской Федерации</w:t>
            </w:r>
            <w:r>
              <w:t xml:space="preserve"> от 29.07.2013 № 644 запрещен к сбросу в централизованные системы водоотведения. Ориентировочная протяженность линий подключения – 1600м.</w:t>
            </w:r>
            <w:r w:rsidR="000F4D05">
              <w:t xml:space="preserve"> </w:t>
            </w: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  <w:r w:rsidR="000F4D05">
              <w:t xml:space="preserve"> </w:t>
            </w:r>
            <w:r>
              <w:t>Подлежит дополнительному согласованию с балансодержателями (собственниками) рядом расположенных объектов.</w:t>
            </w:r>
          </w:p>
        </w:tc>
      </w:tr>
      <w:tr w:rsidR="00BB3BD4" w:rsidRPr="00B25DAB" w:rsidTr="00870856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BB3BD4" w:rsidRPr="00B25DAB" w:rsidTr="00870856">
        <w:trPr>
          <w:jc w:val="center"/>
        </w:trPr>
        <w:tc>
          <w:tcPr>
            <w:tcW w:w="1707" w:type="pct"/>
            <w:shd w:val="clear" w:color="auto" w:fill="auto"/>
          </w:tcPr>
          <w:p w:rsidR="00BB3BD4" w:rsidRPr="00B25DAB" w:rsidRDefault="00BB3BD4" w:rsidP="00F277A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3293" w:type="pct"/>
            <w:shd w:val="clear" w:color="auto" w:fill="auto"/>
          </w:tcPr>
          <w:p w:rsidR="00BB3BD4" w:rsidRPr="00B25DAB" w:rsidRDefault="000F4D05" w:rsidP="00F277A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B3BD4" w:rsidRPr="00BB3BD4" w:rsidRDefault="00BB3BD4" w:rsidP="00BB3BD4">
      <w:pPr>
        <w:autoSpaceDE w:val="0"/>
        <w:autoSpaceDN w:val="0"/>
        <w:spacing w:line="240" w:lineRule="auto"/>
        <w:ind w:firstLine="567"/>
        <w:jc w:val="both"/>
      </w:pPr>
      <w:r w:rsidRPr="00BB3BD4">
        <w:t xml:space="preserve">Начальный размер годовой арендной платы: </w:t>
      </w:r>
      <w:r w:rsidR="000F4D05">
        <w:t>17000</w:t>
      </w:r>
      <w:r w:rsidRPr="00BB3BD4">
        <w:t xml:space="preserve"> (</w:t>
      </w:r>
      <w:r w:rsidR="000F4D05">
        <w:t>семнадцать тысяч</w:t>
      </w:r>
      <w:r w:rsidRPr="00BB3BD4">
        <w:t xml:space="preserve">) рублей 00 копеек (НДС не облагается). </w:t>
      </w:r>
    </w:p>
    <w:p w:rsidR="00BB3BD4" w:rsidRPr="00BB3BD4" w:rsidRDefault="00BB3BD4" w:rsidP="00BB3BD4">
      <w:pPr>
        <w:autoSpaceDE w:val="0"/>
        <w:autoSpaceDN w:val="0"/>
        <w:spacing w:line="240" w:lineRule="auto"/>
        <w:ind w:firstLine="567"/>
        <w:jc w:val="both"/>
      </w:pPr>
      <w:r w:rsidRPr="00BB3BD4">
        <w:t xml:space="preserve">Шаг аукциона:   </w:t>
      </w:r>
      <w:r w:rsidR="000F4D05">
        <w:t xml:space="preserve">500 </w:t>
      </w:r>
      <w:r w:rsidRPr="00BB3BD4">
        <w:t>(</w:t>
      </w:r>
      <w:r w:rsidR="000F4D05">
        <w:t>пятьсот</w:t>
      </w:r>
      <w:r w:rsidRPr="00BB3BD4">
        <w:t xml:space="preserve">) рублей 00 копеек. </w:t>
      </w:r>
    </w:p>
    <w:p w:rsidR="00BB3BD4" w:rsidRPr="00BB3BD4" w:rsidRDefault="00BB3BD4" w:rsidP="00BB3BD4">
      <w:pPr>
        <w:autoSpaceDE w:val="0"/>
        <w:autoSpaceDN w:val="0"/>
        <w:spacing w:line="240" w:lineRule="auto"/>
        <w:ind w:firstLine="567"/>
        <w:jc w:val="both"/>
      </w:pPr>
      <w:r w:rsidRPr="00BB3BD4">
        <w:t xml:space="preserve">Задаток:  </w:t>
      </w:r>
      <w:r w:rsidR="000F4D05">
        <w:t xml:space="preserve">17000 </w:t>
      </w:r>
      <w:r w:rsidRPr="00BB3BD4">
        <w:t>(</w:t>
      </w:r>
      <w:r w:rsidR="000F4D05">
        <w:t>семнадцать тысяч</w:t>
      </w:r>
      <w:r w:rsidRPr="00BB3BD4">
        <w:t xml:space="preserve">) рублей 00 копеек. </w:t>
      </w:r>
    </w:p>
    <w:p w:rsidR="00BB3BD4" w:rsidRPr="00BB3BD4" w:rsidRDefault="00BB3BD4" w:rsidP="00BB3BD4">
      <w:pPr>
        <w:autoSpaceDE w:val="0"/>
        <w:autoSpaceDN w:val="0"/>
        <w:spacing w:line="240" w:lineRule="auto"/>
        <w:ind w:firstLine="567"/>
        <w:jc w:val="both"/>
      </w:pPr>
      <w:r w:rsidRPr="00BB3BD4">
        <w:t>Срок аренды земельного участка: 18 месяцев.</w:t>
      </w:r>
    </w:p>
    <w:p w:rsidR="00BB3BD4" w:rsidRDefault="00BB3BD4" w:rsidP="00BB3BD4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45F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2EFD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302F71ECDE3217DEE57AA931A0A490F2D80F79F754485C2A4B5AD1F6B5F1D3151F8B4DEB0CA735B00415F6FE35D5C004FB429D1Dz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C615-7976-4A2E-BDA4-9352E7F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2019-12-17T23:21:00Z</dcterms:created>
  <dcterms:modified xsi:type="dcterms:W3CDTF">2019-12-17T23:22:00Z</dcterms:modified>
</cp:coreProperties>
</file>