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DE6AF6" w:rsidRPr="00D30D40" w:rsidRDefault="00DE6AF6" w:rsidP="00DE6AF6">
      <w:pPr>
        <w:spacing w:line="240" w:lineRule="auto"/>
        <w:ind w:firstLine="567"/>
        <w:jc w:val="both"/>
        <w:rPr>
          <w:b/>
          <w:spacing w:val="-4"/>
        </w:rPr>
      </w:pPr>
      <w:r w:rsidRPr="00D30D40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D30D40">
        <w:rPr>
          <w:b/>
          <w:u w:val="single"/>
        </w:rPr>
        <w:t>:</w:t>
      </w:r>
      <w:r w:rsidRPr="00D30D40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D30D40">
        <w:rPr>
          <w:b/>
        </w:rPr>
        <w:t xml:space="preserve">нных пунктов) для строительства с кадастровым номером 49:09:030304:188  площадью 1399 кв. м </w:t>
      </w:r>
      <w:r w:rsidRPr="00D30D40">
        <w:rPr>
          <w:b/>
          <w:spacing w:val="-4"/>
        </w:rPr>
        <w:t>по адресу: город Магадан, проезд Промышленный, в районе нежилого здания № 11-а</w:t>
      </w:r>
      <w:r w:rsidR="00144423">
        <w:rPr>
          <w:b/>
          <w:spacing w:val="-4"/>
        </w:rPr>
        <w:t>.</w:t>
      </w:r>
      <w:r w:rsidRPr="00D30D40">
        <w:rPr>
          <w:b/>
          <w:spacing w:val="-4"/>
        </w:rPr>
        <w:t xml:space="preserve"> </w:t>
      </w:r>
    </w:p>
    <w:p w:rsidR="00DE6AF6" w:rsidRPr="002C7A11" w:rsidRDefault="00DE6AF6" w:rsidP="00DE6AF6">
      <w:pPr>
        <w:spacing w:line="240" w:lineRule="auto"/>
        <w:ind w:firstLine="567"/>
        <w:jc w:val="both"/>
        <w:rPr>
          <w:spacing w:val="-4"/>
        </w:rPr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</w:t>
      </w:r>
      <w:r w:rsidRPr="002C7A11">
        <w:t xml:space="preserve">города Магадана, распоряжение от </w:t>
      </w:r>
      <w:r w:rsidR="00144423">
        <w:t xml:space="preserve">21 октября 2019 года </w:t>
      </w:r>
      <w:r w:rsidRPr="002C7A11">
        <w:t xml:space="preserve">№ </w:t>
      </w:r>
      <w:r w:rsidR="00144423">
        <w:t xml:space="preserve">4150р </w:t>
      </w:r>
      <w:r w:rsidRPr="002C7A11">
        <w:t xml:space="preserve">«О проведении аукциона на право заключения договора аренды земельного участка </w:t>
      </w:r>
      <w:r w:rsidRPr="002C7A11">
        <w:rPr>
          <w:spacing w:val="-4"/>
        </w:rPr>
        <w:t>по адресу: город Магадан, проезд Промышленный, в районе нежилого здания № 11-а</w:t>
      </w:r>
      <w:r>
        <w:rPr>
          <w:spacing w:val="-4"/>
        </w:rPr>
        <w:t>».</w:t>
      </w:r>
      <w:r w:rsidRPr="002C7A11">
        <w:rPr>
          <w:spacing w:val="-4"/>
        </w:rPr>
        <w:t xml:space="preserve"> </w:t>
      </w:r>
    </w:p>
    <w:p w:rsidR="00DE6AF6" w:rsidRPr="00B80197" w:rsidRDefault="00DE6AF6" w:rsidP="00DE6AF6">
      <w:pPr>
        <w:autoSpaceDE w:val="0"/>
        <w:autoSpaceDN w:val="0"/>
        <w:spacing w:line="240" w:lineRule="auto"/>
        <w:ind w:firstLine="567"/>
        <w:jc w:val="both"/>
      </w:pP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286"/>
      </w:tblGrid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49:09:030304:188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86" w:type="dxa"/>
            <w:shd w:val="clear" w:color="auto" w:fill="auto"/>
          </w:tcPr>
          <w:p w:rsidR="00DE6AF6" w:rsidRPr="009979EE" w:rsidRDefault="00DE6AF6" w:rsidP="00D23998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</w:t>
            </w:r>
            <w:proofErr w:type="gramEnd"/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2C7A11">
              <w:rPr>
                <w:spacing w:val="-4"/>
              </w:rPr>
              <w:t>проезд Промышленный, в районе нежилого здания № 11-а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DE6AF6" w:rsidP="00144423">
            <w:pPr>
              <w:autoSpaceDE w:val="0"/>
              <w:autoSpaceDN w:val="0"/>
              <w:spacing w:line="240" w:lineRule="auto"/>
              <w:jc w:val="both"/>
            </w:pPr>
            <w:r>
              <w:t>1399 кв. м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E6AF6" w:rsidRPr="00B25DAB" w:rsidTr="00144423">
        <w:trPr>
          <w:trHeight w:val="498"/>
          <w:jc w:val="center"/>
        </w:trPr>
        <w:tc>
          <w:tcPr>
            <w:tcW w:w="3595" w:type="dxa"/>
            <w:shd w:val="clear" w:color="auto" w:fill="auto"/>
          </w:tcPr>
          <w:p w:rsidR="00DE6AF6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49:09:030304:85 под существующим зданием склада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86" w:type="dxa"/>
            <w:shd w:val="clear" w:color="auto" w:fill="auto"/>
          </w:tcPr>
          <w:p w:rsidR="00DE6AF6" w:rsidRPr="00EE65B9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86" w:type="dxa"/>
            <w:shd w:val="clear" w:color="auto" w:fill="auto"/>
          </w:tcPr>
          <w:p w:rsidR="00DE6AF6" w:rsidRPr="00EE65B9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>Отсутствуют</w:t>
            </w:r>
          </w:p>
        </w:tc>
      </w:tr>
      <w:tr w:rsidR="00DE6AF6" w:rsidRPr="00B25DAB" w:rsidTr="00D23998">
        <w:trPr>
          <w:jc w:val="center"/>
        </w:trPr>
        <w:tc>
          <w:tcPr>
            <w:tcW w:w="9881" w:type="dxa"/>
            <w:gridSpan w:val="2"/>
            <w:shd w:val="clear" w:color="auto" w:fill="auto"/>
          </w:tcPr>
          <w:p w:rsidR="00DE6AF6" w:rsidRPr="00B80197" w:rsidRDefault="00DE6AF6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86" w:type="dxa"/>
            <w:shd w:val="clear" w:color="auto" w:fill="auto"/>
          </w:tcPr>
          <w:p w:rsidR="00DE6AF6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 максимальный процент застройки - 60-70, отступ от красной линии - не менее 5 м; минимальный процент озеленения - 10-15.</w:t>
            </w:r>
          </w:p>
          <w:p w:rsidR="00DE6AF6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Склады: этажность не более 2 этажей, максимальный процент застройки – 70, минимальный отступ от красной линии - по границам красных линий, минимальный процент озеленения – 10.</w:t>
            </w:r>
          </w:p>
          <w:p w:rsidR="00DE6AF6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Выращивание тонизирующих, лекарственных, цветочных культур: плоскостные площадки, отступ от красной линии - по границам красных линий.</w:t>
            </w:r>
          </w:p>
          <w:p w:rsidR="00DE6AF6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2 этажей, максимальный процент застройки – 50, минимальный отступ от красной линии - 5 м, минимальный процент озеленения – 30.</w:t>
            </w:r>
          </w:p>
          <w:p w:rsidR="00DE6AF6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3 этажей, максимальный процент застройки – 70, отступ от красной линии - не менее 5 м, минимальный процент озеленения – 20.</w:t>
            </w:r>
          </w:p>
          <w:p w:rsidR="00DE6AF6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- по границам красных линий; минимальный процент озеленения – 30.</w:t>
            </w:r>
          </w:p>
          <w:p w:rsidR="00DE6AF6" w:rsidRPr="00B25DAB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Обслуживание автотранспорта: этажность зданий не более 6 этажей, максимальный процент застройки – 80; открытые площадки с твердым покрытием (асфальтовое, бетонное либо иное покрытие подобного типа). 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86" w:type="dxa"/>
            <w:shd w:val="clear" w:color="auto" w:fill="auto"/>
          </w:tcPr>
          <w:p w:rsidR="00DE6AF6" w:rsidRPr="006322C8" w:rsidRDefault="00DE6AF6" w:rsidP="005D5701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25.07</w:t>
            </w:r>
            <w:r w:rsidRPr="00B80197">
              <w:t>.201</w:t>
            </w:r>
            <w:r>
              <w:t>9 № 08-1682</w:t>
            </w:r>
            <w:r w:rsidRPr="00B80197">
              <w:t>):</w:t>
            </w:r>
            <w:r>
              <w:t xml:space="preserve"> подключение к тепловым сетям  </w:t>
            </w:r>
            <w:r w:rsidR="005D5701">
              <w:t xml:space="preserve">объекта капитального строительства, планируемого на </w:t>
            </w:r>
            <w:r>
              <w:t>земельно</w:t>
            </w:r>
            <w:r w:rsidR="005D5701">
              <w:t>м</w:t>
            </w:r>
            <w:r>
              <w:t xml:space="preserve"> участк</w:t>
            </w:r>
            <w:r w:rsidR="005D5701">
              <w:t xml:space="preserve">е, </w:t>
            </w:r>
            <w:r>
              <w:t xml:space="preserve"> не представляется возможным в связи с тем, что земельный  участок не входит в эффективный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 согласно </w:t>
            </w:r>
            <w:r w:rsidR="005D5701">
              <w:t>С</w:t>
            </w:r>
            <w:r>
              <w:t>хем</w:t>
            </w:r>
            <w:r w:rsidR="005D5701">
              <w:t>е</w:t>
            </w:r>
            <w:r>
              <w:t xml:space="preserve"> </w:t>
            </w:r>
            <w:r>
              <w:lastRenderedPageBreak/>
              <w:t xml:space="preserve">теплоснабжения  </w:t>
            </w:r>
            <w:r w:rsidR="005D5701">
              <w:t xml:space="preserve">муниципального образования </w:t>
            </w:r>
            <w:r>
              <w:t>«Город Магадан». 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  <w:r w:rsidR="005D5701">
              <w:t xml:space="preserve"> </w:t>
            </w:r>
            <w:r>
              <w:t xml:space="preserve"> </w:t>
            </w:r>
            <w:r w:rsidRPr="005D5701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23.07.</w:t>
            </w:r>
            <w:r w:rsidRPr="00B80197">
              <w:t>201</w:t>
            </w:r>
            <w:r>
              <w:t>9 № 4485)</w:t>
            </w:r>
            <w:r w:rsidRPr="00B80197">
              <w:t xml:space="preserve">: </w:t>
            </w:r>
            <w:r>
              <w:t>Водопровод – место присоединения к водопроводу, находящемуся в хозяйственном ведении МУП г. Магадана «Водоканал» - ТВК-2591, максимальное разрешенное водопотребление на хоз.</w:t>
            </w:r>
            <w:r w:rsidR="005D5701">
              <w:t> </w:t>
            </w:r>
            <w:r>
              <w:t>питьевые нужды – 1,5 куб. м в сутки. Канализация – место присоединения к канализации, находящейся в хозяйственном ведении МУП г. Магадана «Водоканал» - КК-80, разрешенный сброс – 1,5 куб. м в сутки. Сброс веществ, материалов, отходов и сточных вод, указанных в Приложении №</w:t>
            </w:r>
            <w:r w:rsidR="005D5701">
              <w:t> </w:t>
            </w:r>
            <w:r>
              <w:t>4 к Правилам холодного водоснабжения</w:t>
            </w:r>
            <w:r w:rsidR="005D5701">
              <w:t xml:space="preserve"> и водоотведения</w:t>
            </w:r>
            <w:r>
              <w:t>, утвержденны</w:t>
            </w:r>
            <w:r w:rsidR="005D5701">
              <w:t>м</w:t>
            </w:r>
            <w:r>
              <w:t xml:space="preserve"> </w:t>
            </w:r>
            <w:r w:rsidR="005D5701">
              <w:t>Постановлением Правительства Российской Федерации</w:t>
            </w:r>
            <w:r>
              <w:t xml:space="preserve"> от 29.07.2013 № 644</w:t>
            </w:r>
            <w:r w:rsidR="005D5701">
              <w:t xml:space="preserve">, </w:t>
            </w:r>
            <w:r>
              <w:t xml:space="preserve"> запрещен к сбросу в централизованные системы водоотведения.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</w:t>
            </w:r>
            <w:r w:rsidR="00144423">
              <w:t xml:space="preserve">МУП г. Магадана «Водоканал» </w:t>
            </w:r>
            <w:r>
              <w:t>– 3 года.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86" w:type="dxa"/>
            <w:shd w:val="clear" w:color="auto" w:fill="auto"/>
          </w:tcPr>
          <w:p w:rsidR="00DE6AF6" w:rsidRPr="00B25DAB" w:rsidRDefault="00144423" w:rsidP="00D23998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Отсутствует </w:t>
            </w:r>
          </w:p>
        </w:tc>
      </w:tr>
      <w:tr w:rsidR="00DE6AF6" w:rsidRPr="00B25DAB" w:rsidTr="00144423">
        <w:trPr>
          <w:jc w:val="center"/>
        </w:trPr>
        <w:tc>
          <w:tcPr>
            <w:tcW w:w="3595" w:type="dxa"/>
            <w:shd w:val="clear" w:color="auto" w:fill="auto"/>
          </w:tcPr>
          <w:p w:rsidR="00DE6AF6" w:rsidRPr="00B25DAB" w:rsidRDefault="00DE6AF6" w:rsidP="00D23998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286" w:type="dxa"/>
            <w:shd w:val="clear" w:color="auto" w:fill="auto"/>
          </w:tcPr>
          <w:p w:rsidR="00DE6AF6" w:rsidRPr="009E0528" w:rsidRDefault="00DE6AF6" w:rsidP="00D23998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На земельном участке расположено сооружение, право </w:t>
            </w:r>
            <w:proofErr w:type="gramStart"/>
            <w:r>
              <w:t>собственности</w:t>
            </w:r>
            <w:proofErr w:type="gramEnd"/>
            <w:r>
              <w:t xml:space="preserve"> на которое </w:t>
            </w:r>
            <w:r w:rsidR="00144423">
              <w:t xml:space="preserve">в установленном порядке </w:t>
            </w:r>
            <w:r>
              <w:t>не зарегист</w:t>
            </w:r>
            <w:r w:rsidR="00144423">
              <w:t>ри</w:t>
            </w:r>
            <w:r>
              <w:t xml:space="preserve">ровано. </w:t>
            </w:r>
          </w:p>
        </w:tc>
      </w:tr>
    </w:tbl>
    <w:p w:rsidR="00DE6AF6" w:rsidRPr="00B80197" w:rsidRDefault="00DE6AF6" w:rsidP="00DE6AF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440755">
        <w:t xml:space="preserve">167000 </w:t>
      </w:r>
      <w:r w:rsidRPr="00B80197">
        <w:t>(</w:t>
      </w:r>
      <w:r w:rsidR="00440755">
        <w:t>сто шестьдесят семь тысяч</w:t>
      </w:r>
      <w:r w:rsidRPr="00B80197">
        <w:t xml:space="preserve">) рублей 00 копеек (НДС не облагается). </w:t>
      </w:r>
    </w:p>
    <w:p w:rsidR="00DE6AF6" w:rsidRPr="00B80197" w:rsidRDefault="00DE6AF6" w:rsidP="00DE6AF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440755">
        <w:t xml:space="preserve">5000 </w:t>
      </w:r>
      <w:r w:rsidRPr="00B80197">
        <w:t>(</w:t>
      </w:r>
      <w:r w:rsidR="00440755">
        <w:t>пять тысяч</w:t>
      </w:r>
      <w:r w:rsidRPr="00B80197">
        <w:t xml:space="preserve">) рублей 00 копеек. </w:t>
      </w:r>
    </w:p>
    <w:p w:rsidR="00DE6AF6" w:rsidRPr="00B80197" w:rsidRDefault="00DE6AF6" w:rsidP="00DE6AF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440755">
        <w:t xml:space="preserve">167000 </w:t>
      </w:r>
      <w:r w:rsidRPr="00B80197">
        <w:t>(</w:t>
      </w:r>
      <w:r w:rsidR="00440755">
        <w:t>сто шестьдесят семь тысяч</w:t>
      </w:r>
      <w:r w:rsidRPr="00B80197">
        <w:t xml:space="preserve">) рублей 00 копеек. </w:t>
      </w:r>
    </w:p>
    <w:p w:rsidR="00DE6AF6" w:rsidRPr="00B80197" w:rsidRDefault="00DE6AF6" w:rsidP="00DE6AF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171F9E" w:rsidRDefault="00171F9E" w:rsidP="006139D8">
      <w:pPr>
        <w:autoSpaceDE w:val="0"/>
        <w:autoSpaceDN w:val="0"/>
        <w:spacing w:line="240" w:lineRule="auto"/>
        <w:ind w:right="-2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6DDD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2A63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B5F8-1958-4F9E-8736-379223C3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2019-12-17T23:12:00Z</dcterms:created>
  <dcterms:modified xsi:type="dcterms:W3CDTF">2019-12-17T23:13:00Z</dcterms:modified>
</cp:coreProperties>
</file>