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034C3B" w:rsidRDefault="00034C3B" w:rsidP="00CD0BE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BF5176" w:rsidRDefault="00BF5176" w:rsidP="00BF5176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 xml:space="preserve">Форма торгов – </w:t>
      </w:r>
      <w:r>
        <w:rPr>
          <w:b/>
          <w:sz w:val="20"/>
          <w:szCs w:val="20"/>
        </w:rPr>
        <w:t>АУКЦИОН</w:t>
      </w:r>
    </w:p>
    <w:p w:rsidR="00BF5176" w:rsidRDefault="00BF5176" w:rsidP="00BF5176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подачи предложений о цене – открытая.</w:t>
      </w:r>
    </w:p>
    <w:p w:rsidR="00BF5176" w:rsidRDefault="00BF5176" w:rsidP="00BF5176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Pr="00BF5176">
        <w:rPr>
          <w:b/>
          <w:sz w:val="20"/>
          <w:szCs w:val="20"/>
          <w:u w:val="single"/>
        </w:rPr>
        <w:t>03 АПРЕЛЯ</w:t>
      </w:r>
      <w:r>
        <w:rPr>
          <w:b/>
          <w:sz w:val="20"/>
          <w:szCs w:val="20"/>
          <w:u w:val="single"/>
        </w:rPr>
        <w:t xml:space="preserve"> 2018 ГОДА</w:t>
      </w:r>
      <w:r>
        <w:rPr>
          <w:b/>
          <w:sz w:val="20"/>
          <w:szCs w:val="20"/>
        </w:rPr>
        <w:t xml:space="preserve">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BF5176" w:rsidRDefault="00BF5176" w:rsidP="00BF5176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  <w:u w:val="single"/>
        </w:rPr>
        <w:t>26 ФЕВРАЛЯ 2018 ГОДА</w:t>
      </w:r>
      <w:r>
        <w:rPr>
          <w:sz w:val="20"/>
          <w:szCs w:val="20"/>
        </w:rPr>
        <w:t xml:space="preserve">. </w:t>
      </w:r>
    </w:p>
    <w:p w:rsidR="00BF5176" w:rsidRDefault="00BF5176" w:rsidP="00BF5176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>
        <w:rPr>
          <w:b/>
          <w:u w:val="single"/>
        </w:rPr>
        <w:t>27 МАРТА 2018 ГОДА</w:t>
      </w:r>
      <w:r>
        <w:rPr>
          <w:b/>
        </w:rPr>
        <w:t>.</w:t>
      </w:r>
    </w:p>
    <w:p w:rsidR="00BF5176" w:rsidRDefault="00BF5176" w:rsidP="00BF5176">
      <w:pPr>
        <w:tabs>
          <w:tab w:val="left" w:pos="540"/>
        </w:tabs>
        <w:spacing w:line="240" w:lineRule="auto"/>
        <w:ind w:firstLine="567"/>
        <w:jc w:val="both"/>
      </w:pPr>
      <w:r>
        <w:t>Рассмотрение заявок, документов претендентов и допуск их к участию в аукционе производится  30 марта 2018 года.</w:t>
      </w:r>
    </w:p>
    <w:p w:rsidR="00BF5176" w:rsidRPr="00181776" w:rsidRDefault="00BF5176" w:rsidP="00BF5176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181776">
        <w:rPr>
          <w:b/>
        </w:rPr>
        <w:t xml:space="preserve">нных пунктов) с кадастровым номером </w:t>
      </w:r>
      <w:r>
        <w:rPr>
          <w:b/>
        </w:rPr>
        <w:t>49:09:031007:1040</w:t>
      </w:r>
      <w:r w:rsidRPr="00181776">
        <w:rPr>
          <w:b/>
        </w:rPr>
        <w:t xml:space="preserve"> площадью </w:t>
      </w:r>
      <w:r>
        <w:rPr>
          <w:b/>
        </w:rPr>
        <w:t>251 кв. м, разрешенное использование – для строительства объекта административно-делового назначения (административное здание) в городе Магадане в районе улицы Берзина, дом 12.</w:t>
      </w:r>
      <w:r w:rsidRPr="00181776">
        <w:rPr>
          <w:b/>
        </w:rPr>
        <w:t xml:space="preserve"> </w:t>
      </w:r>
    </w:p>
    <w:p w:rsidR="00BF5176" w:rsidRPr="00181776" w:rsidRDefault="00BF5176" w:rsidP="00BF5176">
      <w:pPr>
        <w:autoSpaceDE w:val="0"/>
        <w:autoSpaceDN w:val="0"/>
        <w:spacing w:line="240" w:lineRule="auto"/>
        <w:ind w:right="-2" w:firstLine="567"/>
        <w:jc w:val="both"/>
      </w:pPr>
      <w:r w:rsidRPr="00847AB2">
        <w:t>Наименование уполномоченного органа, принявшего решение о проведен</w:t>
      </w:r>
      <w:proofErr w:type="gramStart"/>
      <w:r w:rsidRPr="00847AB2">
        <w:t>ии ау</w:t>
      </w:r>
      <w:proofErr w:type="gramEnd"/>
      <w:r w:rsidRPr="00847AB2">
        <w:t>кциона, реквизиты указанного решения: комитет</w:t>
      </w:r>
      <w:r w:rsidRPr="00181776">
        <w:t xml:space="preserve"> по управлению муниципальным имуществом города Магадана, распоряжение от </w:t>
      </w:r>
      <w:r>
        <w:t xml:space="preserve">22 ноября </w:t>
      </w:r>
      <w:r w:rsidRPr="00181776">
        <w:t>201</w:t>
      </w:r>
      <w:r>
        <w:t>7</w:t>
      </w:r>
      <w:r w:rsidRPr="00181776">
        <w:t xml:space="preserve"> </w:t>
      </w:r>
      <w:r>
        <w:t xml:space="preserve">года </w:t>
      </w:r>
      <w:r w:rsidRPr="00181776">
        <w:t xml:space="preserve">№ </w:t>
      </w:r>
      <w:r>
        <w:t>397-</w:t>
      </w:r>
      <w:r w:rsidRPr="00181776">
        <w:t>р «О проведении аукцион</w:t>
      </w:r>
      <w:r>
        <w:t>а</w:t>
      </w:r>
      <w:r w:rsidRPr="00181776">
        <w:t xml:space="preserve"> на право заключения договор</w:t>
      </w:r>
      <w:r>
        <w:t>а</w:t>
      </w:r>
      <w:r w:rsidRPr="00181776">
        <w:t xml:space="preserve"> аренды земельн</w:t>
      </w:r>
      <w:r>
        <w:t xml:space="preserve">ого </w:t>
      </w:r>
      <w:r w:rsidRPr="00181776">
        <w:t>участк</w:t>
      </w:r>
      <w:r>
        <w:t>а в городе Магадане, в районе улицы Берзина, дом 12»</w:t>
      </w:r>
      <w:r w:rsidRPr="00181776">
        <w:t>.</w:t>
      </w:r>
    </w:p>
    <w:p w:rsidR="00BF5176" w:rsidRPr="00181776" w:rsidRDefault="00BF5176" w:rsidP="00BF5176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t xml:space="preserve"> </w:t>
      </w:r>
      <w:r w:rsidRPr="00181776">
        <w:rPr>
          <w:b/>
        </w:rPr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7"/>
        <w:gridCol w:w="5226"/>
      </w:tblGrid>
      <w:tr w:rsidR="00BF5176" w:rsidRPr="00181776" w:rsidTr="00CA2A03">
        <w:trPr>
          <w:jc w:val="center"/>
        </w:trPr>
        <w:tc>
          <w:tcPr>
            <w:tcW w:w="4077" w:type="dxa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  <w:rPr>
                <w:b/>
              </w:rPr>
            </w:pPr>
            <w:r w:rsidRPr="00181776">
              <w:rPr>
                <w:b/>
              </w:rPr>
              <w:t>Кадастровый номер земельного участка:</w:t>
            </w:r>
          </w:p>
        </w:tc>
        <w:tc>
          <w:tcPr>
            <w:tcW w:w="5243" w:type="dxa"/>
            <w:gridSpan w:val="2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49:09:031007:1040</w:t>
            </w:r>
          </w:p>
        </w:tc>
      </w:tr>
      <w:tr w:rsidR="00BF5176" w:rsidRPr="00181776" w:rsidTr="00CA2A03">
        <w:trPr>
          <w:jc w:val="center"/>
        </w:trPr>
        <w:tc>
          <w:tcPr>
            <w:tcW w:w="4077" w:type="dxa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  <w:rPr>
                <w:b/>
              </w:rPr>
            </w:pPr>
            <w:r w:rsidRPr="00181776">
              <w:rPr>
                <w:b/>
              </w:rPr>
              <w:t>Градостроительная зона</w:t>
            </w:r>
          </w:p>
        </w:tc>
        <w:tc>
          <w:tcPr>
            <w:tcW w:w="5243" w:type="dxa"/>
            <w:gridSpan w:val="2"/>
          </w:tcPr>
          <w:p w:rsidR="00BF5176" w:rsidRPr="0079295C" w:rsidRDefault="00BF5176" w:rsidP="00CA2A0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ОДЗ 201 зона административно-делового, общественного и коммерческого назначения</w:t>
            </w:r>
          </w:p>
        </w:tc>
      </w:tr>
      <w:tr w:rsidR="00BF5176" w:rsidRPr="00181776" w:rsidTr="00CA2A03">
        <w:trPr>
          <w:jc w:val="center"/>
        </w:trPr>
        <w:tc>
          <w:tcPr>
            <w:tcW w:w="4077" w:type="dxa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  <w:rPr>
                <w:b/>
              </w:rPr>
            </w:pPr>
            <w:r w:rsidRPr="00181776">
              <w:rPr>
                <w:b/>
              </w:rPr>
              <w:t>Разрешенное использование земельного участка:</w:t>
            </w:r>
          </w:p>
        </w:tc>
        <w:tc>
          <w:tcPr>
            <w:tcW w:w="5243" w:type="dxa"/>
            <w:gridSpan w:val="2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</w:pPr>
            <w:r>
              <w:t>Для строительства объекта административно-делового назначения (административное здание)</w:t>
            </w:r>
          </w:p>
        </w:tc>
      </w:tr>
      <w:tr w:rsidR="00BF5176" w:rsidRPr="00181776" w:rsidTr="00CA2A03">
        <w:trPr>
          <w:jc w:val="center"/>
        </w:trPr>
        <w:tc>
          <w:tcPr>
            <w:tcW w:w="4077" w:type="dxa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181776">
              <w:rPr>
                <w:b/>
              </w:rPr>
              <w:t>Местоположение земельного участка:</w:t>
            </w:r>
          </w:p>
        </w:tc>
        <w:tc>
          <w:tcPr>
            <w:tcW w:w="5243" w:type="dxa"/>
            <w:gridSpan w:val="2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</w:pPr>
            <w:r>
              <w:t>город Магадан, в районе улицы Берзина, дом 12</w:t>
            </w:r>
          </w:p>
        </w:tc>
      </w:tr>
      <w:tr w:rsidR="00BF5176" w:rsidRPr="00181776" w:rsidTr="00CA2A03">
        <w:trPr>
          <w:jc w:val="center"/>
        </w:trPr>
        <w:tc>
          <w:tcPr>
            <w:tcW w:w="4077" w:type="dxa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181776">
              <w:rPr>
                <w:b/>
              </w:rPr>
              <w:t>Площадь земельного участка:</w:t>
            </w:r>
          </w:p>
        </w:tc>
        <w:tc>
          <w:tcPr>
            <w:tcW w:w="5243" w:type="dxa"/>
            <w:gridSpan w:val="2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251 кв. м</w:t>
            </w:r>
          </w:p>
        </w:tc>
      </w:tr>
      <w:tr w:rsidR="00BF5176" w:rsidRPr="00181776" w:rsidTr="00CA2A03">
        <w:trPr>
          <w:jc w:val="center"/>
        </w:trPr>
        <w:tc>
          <w:tcPr>
            <w:tcW w:w="4077" w:type="dxa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  <w:rPr>
                <w:b/>
              </w:rPr>
            </w:pPr>
            <w:r w:rsidRPr="00181776">
              <w:rPr>
                <w:b/>
              </w:rPr>
              <w:t>Категория земель:</w:t>
            </w:r>
          </w:p>
        </w:tc>
        <w:tc>
          <w:tcPr>
            <w:tcW w:w="5243" w:type="dxa"/>
            <w:gridSpan w:val="2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Земли населённых пунктов</w:t>
            </w:r>
          </w:p>
        </w:tc>
      </w:tr>
      <w:tr w:rsidR="00BF5176" w:rsidRPr="00181776" w:rsidTr="00CA2A03">
        <w:trPr>
          <w:trHeight w:val="498"/>
          <w:jc w:val="center"/>
        </w:trPr>
        <w:tc>
          <w:tcPr>
            <w:tcW w:w="4077" w:type="dxa"/>
          </w:tcPr>
          <w:p w:rsidR="00BF51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  <w:rPr>
                <w:b/>
              </w:rPr>
            </w:pPr>
            <w:r w:rsidRPr="00181776">
              <w:rPr>
                <w:b/>
              </w:rPr>
              <w:t xml:space="preserve">Граница со </w:t>
            </w:r>
            <w:proofErr w:type="gramStart"/>
            <w:r w:rsidRPr="00181776">
              <w:rPr>
                <w:b/>
              </w:rPr>
              <w:t>смежными</w:t>
            </w:r>
            <w:proofErr w:type="gramEnd"/>
            <w:r w:rsidRPr="00181776">
              <w:rPr>
                <w:b/>
              </w:rPr>
              <w:t xml:space="preserve"> земельными </w:t>
            </w:r>
          </w:p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181776">
              <w:rPr>
                <w:b/>
              </w:rPr>
              <w:t>участками:</w:t>
            </w:r>
          </w:p>
        </w:tc>
        <w:tc>
          <w:tcPr>
            <w:tcW w:w="5243" w:type="dxa"/>
            <w:gridSpan w:val="2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B23632">
              <w:t>Земельный участок с кадастровым номером 49:09:031007:50 под открытой площадкой для хранения продуктов переработки нефти</w:t>
            </w:r>
            <w:r>
              <w:t>;</w:t>
            </w:r>
            <w:r w:rsidRPr="00B23632">
              <w:t xml:space="preserve"> земельный участок с кадастровым номером 49:09:031007:107</w:t>
            </w:r>
            <w:r>
              <w:t xml:space="preserve"> </w:t>
            </w:r>
            <w:r w:rsidRPr="00B23632">
              <w:t>под зданием склада.</w:t>
            </w:r>
          </w:p>
        </w:tc>
      </w:tr>
      <w:tr w:rsidR="00BF5176" w:rsidRPr="00181776" w:rsidTr="00CA2A03">
        <w:trPr>
          <w:jc w:val="center"/>
        </w:trPr>
        <w:tc>
          <w:tcPr>
            <w:tcW w:w="4077" w:type="dxa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181776">
              <w:rPr>
                <w:b/>
              </w:rPr>
              <w:t>Обременения земельного участка:</w:t>
            </w:r>
          </w:p>
        </w:tc>
        <w:tc>
          <w:tcPr>
            <w:tcW w:w="5243" w:type="dxa"/>
            <w:gridSpan w:val="2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Отсутствуют</w:t>
            </w:r>
          </w:p>
        </w:tc>
      </w:tr>
      <w:tr w:rsidR="00BF5176" w:rsidRPr="00181776" w:rsidTr="00CA2A03">
        <w:trPr>
          <w:jc w:val="center"/>
        </w:trPr>
        <w:tc>
          <w:tcPr>
            <w:tcW w:w="4077" w:type="dxa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181776">
              <w:rPr>
                <w:b/>
              </w:rPr>
              <w:t>Ограничения использования земельного участка:</w:t>
            </w:r>
          </w:p>
        </w:tc>
        <w:tc>
          <w:tcPr>
            <w:tcW w:w="5243" w:type="dxa"/>
            <w:gridSpan w:val="2"/>
          </w:tcPr>
          <w:p w:rsidR="00BF5176" w:rsidRPr="00491858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В границах земельного участка с кадастровым номером 49:09:031007:1040 расположены сети инженерно-технического обеспечения (сети электроснабжения). В градостроительном плане земельного участка № </w:t>
            </w:r>
            <w:r>
              <w:rPr>
                <w:lang w:val="en-US"/>
              </w:rPr>
              <w:t>RU</w:t>
            </w:r>
            <w:r w:rsidRPr="00491858">
              <w:t xml:space="preserve">49301000-998 </w:t>
            </w:r>
            <w:r>
              <w:t xml:space="preserve">(чертёж приведен ниже) отображены границы, в пределах которых разрешается строительство объекта капитального строительства. Сети инженерно-технического обеспечения расположены за границами мест, предусматривающих строительство капитального объекта. </w:t>
            </w:r>
          </w:p>
        </w:tc>
      </w:tr>
      <w:tr w:rsidR="00BF5176" w:rsidRPr="00181776" w:rsidTr="00CA2A03">
        <w:tblPrEx>
          <w:tblLook w:val="04A0"/>
        </w:tblPrEx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BF5176" w:rsidRDefault="00BF5176" w:rsidP="00CA2A03">
            <w:pPr>
              <w:autoSpaceDE w:val="0"/>
              <w:autoSpaceDN w:val="0"/>
              <w:spacing w:line="240" w:lineRule="auto"/>
              <w:ind w:right="-2"/>
              <w:jc w:val="center"/>
              <w:rPr>
                <w:b/>
              </w:rPr>
            </w:pPr>
          </w:p>
          <w:p w:rsidR="00BF5176" w:rsidRDefault="00BF5176" w:rsidP="00CA2A03">
            <w:pPr>
              <w:autoSpaceDE w:val="0"/>
              <w:autoSpaceDN w:val="0"/>
              <w:spacing w:line="240" w:lineRule="auto"/>
              <w:ind w:right="-2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5608800" cy="3992880"/>
                  <wp:effectExtent l="19050" t="0" r="0" b="0"/>
                  <wp:docPr id="1" name="Рисунок 1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87" cy="3993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center"/>
              <w:rPr>
                <w:b/>
              </w:rPr>
            </w:pPr>
          </w:p>
        </w:tc>
      </w:tr>
      <w:tr w:rsidR="00BF5176" w:rsidRPr="00181776" w:rsidTr="00CA2A03">
        <w:tblPrEx>
          <w:tblLook w:val="04A0"/>
        </w:tblPrEx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center"/>
              <w:rPr>
                <w:b/>
              </w:rPr>
            </w:pPr>
            <w:r w:rsidRPr="00181776">
              <w:rPr>
                <w:b/>
              </w:rPr>
              <w:lastRenderedPageBreak/>
              <w:t>Для земельных участков, в соответствии с основным видом разрешенного использования которых, предусмотрено строительство</w:t>
            </w:r>
          </w:p>
        </w:tc>
      </w:tr>
      <w:tr w:rsidR="00BF5176" w:rsidRPr="00181776" w:rsidTr="00CA2A03">
        <w:tblPrEx>
          <w:tblLook w:val="04A0"/>
        </w:tblPrEx>
        <w:trPr>
          <w:jc w:val="center"/>
        </w:trPr>
        <w:tc>
          <w:tcPr>
            <w:tcW w:w="4077" w:type="dxa"/>
            <w:shd w:val="clear" w:color="auto" w:fill="auto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</w:pPr>
            <w:r w:rsidRPr="00181776">
              <w:rPr>
                <w:b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BF5176" w:rsidRDefault="00BF5176" w:rsidP="00CA2A0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10 этажей. </w:t>
            </w:r>
          </w:p>
          <w:p w:rsidR="00BF5176" w:rsidRDefault="00BF5176" w:rsidP="00CA2A0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– 50.</w:t>
            </w:r>
          </w:p>
          <w:p w:rsidR="00BF5176" w:rsidRPr="0079295C" w:rsidRDefault="00BF5176" w:rsidP="00CA2A0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не менее 5 м.</w:t>
            </w:r>
          </w:p>
        </w:tc>
      </w:tr>
      <w:tr w:rsidR="00BF5176" w:rsidRPr="00181776" w:rsidTr="00CA2A03">
        <w:tblPrEx>
          <w:tblLook w:val="04A0"/>
        </w:tblPrEx>
        <w:trPr>
          <w:jc w:val="center"/>
        </w:trPr>
        <w:tc>
          <w:tcPr>
            <w:tcW w:w="4077" w:type="dxa"/>
            <w:shd w:val="clear" w:color="auto" w:fill="auto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rPr>
                <w:b/>
              </w:rPr>
            </w:pPr>
            <w:r w:rsidRPr="00181776">
              <w:rPr>
                <w:b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BF5176" w:rsidRDefault="00BF5176" w:rsidP="00CA2A03">
            <w:pPr>
              <w:spacing w:line="240" w:lineRule="auto"/>
              <w:jc w:val="both"/>
            </w:pPr>
            <w:r w:rsidRPr="00181776">
              <w:rPr>
                <w:b/>
              </w:rPr>
              <w:t>Теплоснабжение</w:t>
            </w:r>
            <w:r w:rsidRPr="00181776">
              <w:t>:</w:t>
            </w:r>
            <w:r>
              <w:t xml:space="preserve"> в настоящее время система теплоснабжения города Магадана работает в режиме дефицита пропускной способности магистральных тепловых сетей по причине  превышения расчетной тепловой мощности присоединенных тепловых потребителей над имеющейся технической возможностью. Действующие Правила технической эксплуатации электрических сетей и сетей Российской Федерации, утвержденные приказом Минэнерго России от 19.06.2003 № 229 и Федеральный закон от 27.07.2010 № 190-ФЗ «О теплоснабжении» не допускают присоединение новых потребителей при исчерпании фактической пропускной способности магистралей тепловых сетей. Подключение капитального объекта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 (письмо ПАО «Магаданэнерго» от 24.04.2017 № ГТ/10-1526).</w:t>
            </w:r>
          </w:p>
          <w:p w:rsidR="00BF5176" w:rsidRPr="00181776" w:rsidRDefault="00BF5176" w:rsidP="00CA2A03">
            <w:pPr>
              <w:spacing w:line="240" w:lineRule="auto"/>
              <w:jc w:val="both"/>
            </w:pPr>
            <w:r w:rsidRPr="00181776">
              <w:rPr>
                <w:b/>
              </w:rPr>
              <w:t xml:space="preserve">Водоснабжение и канализация: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ВК-717, максимальное разрешенное водопотребление – 3 куб. м в сутки, гарантируемый напор в точке подключения –26 м.   Канализация: место присоединения к канализации, находящейся в хозяйственном ведении МУП г. Магадана «Водоканал» - КК-4406 (отметка лотка 32.09 м, диаметр трубопровода 250 мм), максимальное разрешенное водоотведение стоков – 5 куб. м в сутки</w:t>
            </w:r>
            <w:proofErr w:type="gramEnd"/>
            <w:r>
              <w:t xml:space="preserve">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</w:t>
            </w:r>
            <w:r>
              <w:lastRenderedPageBreak/>
              <w:t>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 </w:t>
            </w:r>
            <w:r w:rsidRPr="004351E8">
              <w:t>(письмо</w:t>
            </w:r>
            <w:r w:rsidRPr="00181776">
              <w:t xml:space="preserve"> МУП г. Магадана «Водоканал» от </w:t>
            </w:r>
            <w:r>
              <w:t>04.05.2017</w:t>
            </w:r>
            <w:r w:rsidRPr="00181776">
              <w:t xml:space="preserve"> № </w:t>
            </w:r>
            <w:r>
              <w:t>3019)</w:t>
            </w:r>
            <w:r w:rsidRPr="00181776">
              <w:t>.</w:t>
            </w:r>
          </w:p>
        </w:tc>
      </w:tr>
      <w:tr w:rsidR="00BF5176" w:rsidRPr="00181776" w:rsidTr="00CA2A03">
        <w:tblPrEx>
          <w:tblLook w:val="04A0"/>
        </w:tblPrEx>
        <w:trPr>
          <w:jc w:val="center"/>
        </w:trPr>
        <w:tc>
          <w:tcPr>
            <w:tcW w:w="4077" w:type="dxa"/>
            <w:shd w:val="clear" w:color="auto" w:fill="auto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rPr>
                <w:b/>
              </w:rPr>
            </w:pPr>
            <w:r w:rsidRPr="00181776">
              <w:rPr>
                <w:b/>
              </w:rPr>
              <w:lastRenderedPageBreak/>
              <w:t>Срок действия технических условий: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BF5176" w:rsidRPr="00272B03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МУП г. Магадана «Водоканал» - 3 года.</w:t>
            </w:r>
          </w:p>
        </w:tc>
      </w:tr>
      <w:tr w:rsidR="00BF5176" w:rsidRPr="00181776" w:rsidTr="00CA2A03">
        <w:tblPrEx>
          <w:tblLook w:val="04A0"/>
        </w:tblPrEx>
        <w:trPr>
          <w:jc w:val="center"/>
        </w:trPr>
        <w:tc>
          <w:tcPr>
            <w:tcW w:w="4077" w:type="dxa"/>
            <w:shd w:val="clear" w:color="auto" w:fill="auto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rPr>
                <w:b/>
              </w:rPr>
            </w:pPr>
            <w:r w:rsidRPr="00181776">
              <w:rPr>
                <w:b/>
              </w:rPr>
              <w:t>Информация о плате за подключение: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нет</w:t>
            </w:r>
          </w:p>
        </w:tc>
      </w:tr>
      <w:tr w:rsidR="00BF5176" w:rsidRPr="00181776" w:rsidTr="00CA2A03">
        <w:tblPrEx>
          <w:tblLook w:val="04A0"/>
        </w:tblPrEx>
        <w:trPr>
          <w:jc w:val="center"/>
        </w:trPr>
        <w:tc>
          <w:tcPr>
            <w:tcW w:w="4077" w:type="dxa"/>
            <w:shd w:val="clear" w:color="auto" w:fill="auto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rPr>
                <w:b/>
              </w:rPr>
            </w:pPr>
            <w:r w:rsidRPr="00181776">
              <w:rPr>
                <w:b/>
              </w:rPr>
              <w:t>Иные требования к земельному участку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BF5176" w:rsidRPr="00963354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rPr>
                <w:b/>
              </w:rPr>
              <w:t xml:space="preserve">Размещение объекта капитального строительства на земельном участке. </w:t>
            </w:r>
            <w:r>
              <w:t xml:space="preserve">При разработке схемы планировочной организации земельного участка необходимо предусмотреть парковочные места, благоустройство территории: асфальтирование проездов, мощение тротуарной плиткой. Мероприятия по обеспечению доступа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</w:t>
            </w:r>
          </w:p>
          <w:p w:rsidR="00BF51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050E37">
              <w:rPr>
                <w:b/>
              </w:rPr>
              <w:t>Объемно-планировочные решения.</w:t>
            </w:r>
            <w:r>
              <w:t xml:space="preserve"> </w:t>
            </w:r>
          </w:p>
          <w:p w:rsidR="00BF51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При разработке объемно-планировочных решений необходимо учесть градостроительные условия размещения объекта, руководствоваться современными тенденциями в проектировании. В зависимости от объемно-планировочного решения должен быть выбран конструктивный тип здания, возможны следующие варианты: сборно-монолитный железобетонный каркас, рамно-связной железобетонный или металлический каркас. </w:t>
            </w:r>
          </w:p>
          <w:p w:rsidR="00BF51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050E37">
              <w:rPr>
                <w:b/>
              </w:rPr>
              <w:t>Внешний облик объекта.</w:t>
            </w:r>
            <w:r>
              <w:t xml:space="preserve"> </w:t>
            </w:r>
          </w:p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Проектируемое административное здание должно гармонировать с общим обликом существующей застройки. С целью достижения выразительности фасадов здания необходимо использовать различные архитектурные приемы: пластику фасадов, цветовые решения, применять современные отделочные материалы: навесные вентилируемые системы (композитные панели, «</w:t>
            </w:r>
            <w:proofErr w:type="spellStart"/>
            <w:r>
              <w:t>краспан</w:t>
            </w:r>
            <w:proofErr w:type="spellEnd"/>
            <w:r>
              <w:t xml:space="preserve">» панели и т.д.), витражное остекление. В цветовом решении рекомендуется использовать цветовую гамму спокойных пастельных тонов различной степени насыщенности.   </w:t>
            </w:r>
            <w:proofErr w:type="gramStart"/>
            <w:r w:rsidRPr="00195BCD">
              <w:rPr>
                <w:color w:val="000000"/>
                <w:shd w:val="clear" w:color="auto" w:fill="FFFFFF"/>
              </w:rPr>
              <w:t>Архитектурные решения</w:t>
            </w:r>
            <w:proofErr w:type="gramEnd"/>
            <w:r w:rsidRPr="00195BCD">
              <w:rPr>
                <w:color w:val="000000"/>
                <w:shd w:val="clear" w:color="auto" w:fill="FFFFFF"/>
              </w:rP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 до начала разработки рабочего проекта.</w:t>
            </w:r>
          </w:p>
        </w:tc>
      </w:tr>
      <w:tr w:rsidR="00BF5176" w:rsidRPr="00181776" w:rsidTr="00CA2A03">
        <w:tblPrEx>
          <w:tblLook w:val="04A0"/>
        </w:tblPrEx>
        <w:trPr>
          <w:jc w:val="center"/>
        </w:trPr>
        <w:tc>
          <w:tcPr>
            <w:tcW w:w="4094" w:type="dxa"/>
            <w:gridSpan w:val="2"/>
            <w:shd w:val="clear" w:color="auto" w:fill="auto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ind w:right="-2"/>
              <w:rPr>
                <w:b/>
              </w:rPr>
            </w:pPr>
            <w:r w:rsidRPr="00181776">
              <w:rPr>
                <w:b/>
              </w:rPr>
              <w:t>Особые условия</w:t>
            </w:r>
          </w:p>
        </w:tc>
        <w:tc>
          <w:tcPr>
            <w:tcW w:w="5226" w:type="dxa"/>
            <w:shd w:val="clear" w:color="auto" w:fill="auto"/>
          </w:tcPr>
          <w:p w:rsidR="00BF5176" w:rsidRPr="00181776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BF5176" w:rsidRPr="00C217AE" w:rsidRDefault="00BF5176" w:rsidP="00BF5176">
      <w:pPr>
        <w:autoSpaceDE w:val="0"/>
        <w:autoSpaceDN w:val="0"/>
        <w:spacing w:line="240" w:lineRule="auto"/>
        <w:ind w:right="-2" w:firstLine="567"/>
        <w:jc w:val="both"/>
      </w:pPr>
      <w:r w:rsidRPr="00700C47">
        <w:rPr>
          <w:b/>
        </w:rPr>
        <w:t>Начальный размер годовой арендной платы</w:t>
      </w:r>
      <w:r w:rsidRPr="00C217AE">
        <w:rPr>
          <w:b/>
        </w:rPr>
        <w:t>:</w:t>
      </w:r>
      <w:r w:rsidRPr="00C217AE">
        <w:t xml:space="preserve"> 59 000 (пятьдесят девять тысяч) рублей 00 копеек (НДС не облагается). </w:t>
      </w:r>
    </w:p>
    <w:p w:rsidR="00BF5176" w:rsidRPr="00C217AE" w:rsidRDefault="00BF5176" w:rsidP="00BF5176">
      <w:pPr>
        <w:autoSpaceDE w:val="0"/>
        <w:autoSpaceDN w:val="0"/>
        <w:spacing w:line="240" w:lineRule="auto"/>
        <w:ind w:right="-2" w:firstLine="567"/>
        <w:jc w:val="both"/>
        <w:rPr>
          <w:i/>
        </w:rPr>
      </w:pPr>
      <w:r w:rsidRPr="00C217AE">
        <w:rPr>
          <w:b/>
        </w:rPr>
        <w:t>Шаг аукциона:</w:t>
      </w:r>
      <w:r w:rsidRPr="00C217AE">
        <w:t xml:space="preserve">  1 500 (одна тысяча пятьсот) рублей 00 копеек. </w:t>
      </w:r>
    </w:p>
    <w:p w:rsidR="00BF5176" w:rsidRPr="00C217AE" w:rsidRDefault="00BF5176" w:rsidP="00BF5176">
      <w:pPr>
        <w:autoSpaceDE w:val="0"/>
        <w:autoSpaceDN w:val="0"/>
        <w:spacing w:line="240" w:lineRule="auto"/>
        <w:ind w:right="-2" w:firstLine="567"/>
        <w:jc w:val="both"/>
      </w:pPr>
      <w:r w:rsidRPr="00C217AE">
        <w:rPr>
          <w:b/>
        </w:rPr>
        <w:t>Задаток:</w:t>
      </w:r>
      <w:r w:rsidRPr="00C217AE">
        <w:t xml:space="preserve"> 59 000 (пятьдесят девять тысяч) рублей 00 копеек. </w:t>
      </w:r>
    </w:p>
    <w:p w:rsidR="00BF5176" w:rsidRDefault="00BF5176" w:rsidP="00BF5176">
      <w:pPr>
        <w:autoSpaceDE w:val="0"/>
        <w:autoSpaceDN w:val="0"/>
        <w:spacing w:line="240" w:lineRule="auto"/>
        <w:ind w:right="-2" w:firstLine="567"/>
        <w:jc w:val="both"/>
      </w:pPr>
      <w:r w:rsidRPr="00C217AE">
        <w:rPr>
          <w:b/>
        </w:rPr>
        <w:t>Срок аренды земельного участка:</w:t>
      </w:r>
      <w:r w:rsidRPr="00C217AE">
        <w:t xml:space="preserve"> 18 месяцев.</w:t>
      </w:r>
    </w:p>
    <w:p w:rsidR="00BF5176" w:rsidRDefault="00BF5176" w:rsidP="00BF5176">
      <w:pPr>
        <w:pStyle w:val="a3"/>
        <w:ind w:left="567" w:right="-2"/>
        <w:rPr>
          <w:sz w:val="20"/>
          <w:szCs w:val="20"/>
        </w:rPr>
      </w:pPr>
    </w:p>
    <w:p w:rsidR="00BF5176" w:rsidRPr="00B25DAB" w:rsidRDefault="00BF5176" w:rsidP="00BF517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031002:385</w:t>
      </w:r>
      <w:r w:rsidRPr="00B25DAB">
        <w:rPr>
          <w:b/>
        </w:rPr>
        <w:t xml:space="preserve"> площадью </w:t>
      </w:r>
      <w:r>
        <w:rPr>
          <w:b/>
        </w:rPr>
        <w:t>1269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деловое управление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4 км основной трассы. </w:t>
      </w:r>
      <w:r w:rsidRPr="00B25DAB">
        <w:rPr>
          <w:b/>
        </w:rPr>
        <w:t xml:space="preserve"> </w:t>
      </w:r>
    </w:p>
    <w:p w:rsidR="00BF5176" w:rsidRPr="00B25DAB" w:rsidRDefault="00BF5176" w:rsidP="00BF517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02 октября 2017</w:t>
      </w:r>
      <w:r w:rsidRPr="00B25DAB">
        <w:t xml:space="preserve"> года № </w:t>
      </w:r>
      <w:r>
        <w:t>301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деловое управление </w:t>
      </w:r>
      <w:r w:rsidRPr="00B25DAB">
        <w:t>в городе Магадане</w:t>
      </w:r>
      <w:r>
        <w:t xml:space="preserve"> в районе 4 км основной трассы»</w:t>
      </w:r>
    </w:p>
    <w:p w:rsidR="00BF5176" w:rsidRPr="00B25DAB" w:rsidRDefault="00BF5176" w:rsidP="00BF517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BF5176" w:rsidRPr="00B25DAB" w:rsidTr="00CA2A0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>49:09:031002:385</w:t>
            </w:r>
          </w:p>
        </w:tc>
      </w:tr>
      <w:tr w:rsidR="00BF5176" w:rsidRPr="00B25DAB" w:rsidTr="00CA2A0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BF5176" w:rsidRPr="00B25DAB" w:rsidTr="00CA2A0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</w:pPr>
            <w:r>
              <w:t>Деловое управление</w:t>
            </w:r>
          </w:p>
        </w:tc>
      </w:tr>
      <w:tr w:rsidR="00BF5176" w:rsidRPr="00B25DAB" w:rsidTr="00CA2A0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</w:pPr>
            <w:r>
              <w:t>город Магадан, в районе 4 км основной трассы</w:t>
            </w:r>
          </w:p>
        </w:tc>
      </w:tr>
      <w:tr w:rsidR="00BF5176" w:rsidRPr="00B25DAB" w:rsidTr="00CA2A0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>1269 кв. м</w:t>
            </w:r>
          </w:p>
        </w:tc>
      </w:tr>
      <w:tr w:rsidR="00BF5176" w:rsidRPr="00B25DAB" w:rsidTr="00CA2A0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BF5176" w:rsidRPr="00B25DAB" w:rsidTr="00CA2A03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BF5176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lastRenderedPageBreak/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49:09:031002:332 под складом</w:t>
            </w:r>
          </w:p>
        </w:tc>
      </w:tr>
      <w:tr w:rsidR="00BF5176" w:rsidRPr="00B25DAB" w:rsidTr="00CA2A0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F5176" w:rsidRPr="00B25DAB" w:rsidTr="00CA2A0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F5176" w:rsidRPr="00B25DAB" w:rsidTr="00CA2A03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BF5176" w:rsidRPr="001248D3" w:rsidRDefault="00BF5176" w:rsidP="00CA2A03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1248D3"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center"/>
            </w:pPr>
            <w:r w:rsidRPr="001248D3">
              <w:rPr>
                <w:b/>
              </w:rPr>
              <w:t>предусмотрено строительство</w:t>
            </w:r>
          </w:p>
        </w:tc>
      </w:tr>
      <w:tr w:rsidR="00BF5176" w:rsidRPr="00B25DAB" w:rsidTr="00CA2A03">
        <w:trPr>
          <w:jc w:val="center"/>
        </w:trPr>
        <w:tc>
          <w:tcPr>
            <w:tcW w:w="395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F5176" w:rsidRDefault="00BF5176" w:rsidP="00CA2A0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10 этажей.</w:t>
            </w:r>
          </w:p>
          <w:p w:rsidR="00BF5176" w:rsidRDefault="00BF5176" w:rsidP="00CA2A0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– 50</w:t>
            </w:r>
          </w:p>
          <w:p w:rsidR="00BF5176" w:rsidRPr="00B25DAB" w:rsidRDefault="00BF5176" w:rsidP="00CA2A0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– не менее 5 м</w:t>
            </w:r>
          </w:p>
        </w:tc>
      </w:tr>
      <w:tr w:rsidR="00BF5176" w:rsidRPr="00B25DAB" w:rsidTr="00CA2A03">
        <w:trPr>
          <w:jc w:val="center"/>
        </w:trPr>
        <w:tc>
          <w:tcPr>
            <w:tcW w:w="395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F5176" w:rsidRPr="006322C8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F61778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 w:rsidRPr="007A0562">
              <w:rPr>
                <w:b/>
              </w:rPr>
              <w:t>(письм</w:t>
            </w:r>
            <w:r>
              <w:rPr>
                <w:b/>
              </w:rPr>
              <w:t>о ПАО «</w:t>
            </w:r>
            <w:r w:rsidRPr="007A0562">
              <w:rPr>
                <w:b/>
              </w:rPr>
              <w:t>Магадан</w:t>
            </w:r>
            <w:r>
              <w:rPr>
                <w:b/>
              </w:rPr>
              <w:t>энерго</w:t>
            </w:r>
            <w:r w:rsidRPr="007A0562">
              <w:rPr>
                <w:b/>
              </w:rPr>
              <w:t xml:space="preserve">» от </w:t>
            </w:r>
            <w:r>
              <w:rPr>
                <w:b/>
              </w:rPr>
              <w:t>11.09.2017</w:t>
            </w:r>
            <w:r w:rsidRPr="007A0562">
              <w:rPr>
                <w:b/>
              </w:rPr>
              <w:t xml:space="preserve"> № </w:t>
            </w:r>
            <w:r>
              <w:rPr>
                <w:b/>
              </w:rPr>
              <w:t>МХ/20-3499):</w:t>
            </w:r>
            <w:r w:rsidRPr="007A0562">
              <w:rPr>
                <w:b/>
              </w:rPr>
              <w:t xml:space="preserve"> </w:t>
            </w:r>
            <w:r>
              <w:t xml:space="preserve">земельный участок находится вне зоны централизованного теплоснабжения от источника ПАО «Магаданэнерго» Магаданская ТЭЦ. Теплоснабжение целесообразно осуществить от </w:t>
            </w:r>
            <w:proofErr w:type="gramStart"/>
            <w:r>
              <w:t>локального</w:t>
            </w:r>
            <w:proofErr w:type="gramEnd"/>
            <w:r>
              <w:t>, либо индивидуальных источников.</w:t>
            </w:r>
          </w:p>
          <w:p w:rsidR="00BF5176" w:rsidRPr="006322C8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181776">
              <w:rPr>
                <w:b/>
              </w:rPr>
              <w:t xml:space="preserve">Водоснабжение и </w:t>
            </w:r>
            <w:r w:rsidRPr="007A0562">
              <w:rPr>
                <w:b/>
              </w:rPr>
              <w:t>канализация (письмо МУП г. Магада</w:t>
            </w:r>
            <w:r>
              <w:rPr>
                <w:b/>
              </w:rPr>
              <w:t>на «Водоканал» от 14.09.2017</w:t>
            </w:r>
            <w:r w:rsidRPr="007A0562">
              <w:rPr>
                <w:b/>
              </w:rPr>
              <w:t xml:space="preserve"> № </w:t>
            </w:r>
            <w:r>
              <w:rPr>
                <w:b/>
              </w:rPr>
              <w:t>8471</w:t>
            </w:r>
            <w:r w:rsidRPr="007A0562">
              <w:rPr>
                <w:b/>
              </w:rPr>
              <w:t>):</w:t>
            </w:r>
            <w:r w:rsidRPr="00181776">
              <w:rPr>
                <w:b/>
              </w:rPr>
              <w:t xml:space="preserve"> </w:t>
            </w:r>
            <w:r>
              <w:t>подключение к сетям водоснабжения и канализации невозможно из-за отсутствия в данном районе сетей холодного водопровода и канализации, находящихся в хозяйственном ведении МУП г. Магадана «Водоканал»</w:t>
            </w:r>
          </w:p>
        </w:tc>
      </w:tr>
      <w:tr w:rsidR="00BF5176" w:rsidRPr="00B25DAB" w:rsidTr="00CA2A03">
        <w:trPr>
          <w:jc w:val="center"/>
        </w:trPr>
        <w:tc>
          <w:tcPr>
            <w:tcW w:w="395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BF5176" w:rsidRPr="00B25DAB" w:rsidTr="00CA2A03">
        <w:trPr>
          <w:jc w:val="center"/>
        </w:trPr>
        <w:tc>
          <w:tcPr>
            <w:tcW w:w="395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BF5176" w:rsidRPr="00B25DAB" w:rsidTr="00CA2A03">
        <w:trPr>
          <w:jc w:val="center"/>
        </w:trPr>
        <w:tc>
          <w:tcPr>
            <w:tcW w:w="395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F5176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 w:rsidRPr="006028C8">
              <w:rPr>
                <w:b/>
              </w:rPr>
              <w:t>Размещение объекта капитального строительства на земельном участке.</w:t>
            </w:r>
            <w:r>
              <w:t xml:space="preserve"> При разработке схемы планировочной организации земельного участка необходимо предусмотреть парковочные места, благоустройство территории: мощение тротуарной плиткой, установку малых архитектурных форм. Проектом предусмотреть возможность </w:t>
            </w:r>
            <w:proofErr w:type="spellStart"/>
            <w:r>
              <w:t>безбарьерного</w:t>
            </w:r>
            <w:proofErr w:type="spellEnd"/>
            <w:r>
              <w:t xml:space="preserve"> передвижения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  </w:t>
            </w:r>
          </w:p>
          <w:p w:rsidR="00BF5176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необходимо учесть градостроительные условия размещения объекта капитального строительства, использовать прогрессивные конструктивные системы и отделочные материалы. </w:t>
            </w:r>
          </w:p>
          <w:p w:rsidR="00BF5176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конструктивных решений возможны следующие варианты: монолитный, сборно-монолитный железобетонный каркас,  рамочно-связной железобетонный или металлический каркас с заполнением кирпичом или бетонными блоками.  </w:t>
            </w:r>
          </w:p>
          <w:p w:rsidR="00BF5176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проекта использовать современные, экологически безопасные строительные материалы. </w:t>
            </w:r>
          </w:p>
          <w:p w:rsidR="00BF5176" w:rsidRDefault="00BF5176" w:rsidP="00CA2A03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6028C8">
              <w:rPr>
                <w:b/>
              </w:rPr>
              <w:t xml:space="preserve">Внешний облик объекта.   </w:t>
            </w:r>
          </w:p>
          <w:p w:rsidR="00BF5176" w:rsidRPr="003E5CB4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Предполагаемое административное здание должно гармонировать с общим обликом существующей застройки. </w:t>
            </w:r>
          </w:p>
          <w:p w:rsidR="00BF5176" w:rsidRPr="006028C8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 xml:space="preserve">С целью достижения выразительности фасадов </w:t>
            </w:r>
            <w:proofErr w:type="gramStart"/>
            <w:r>
              <w:t>здания</w:t>
            </w:r>
            <w:proofErr w:type="gramEnd"/>
            <w:r>
              <w:t xml:space="preserve"> возможно использовать различные архитектурные приемы: пластику фасадов, цветовые решения, применять современные материалы: навесные вентилируемые системы (композитные панели, «</w:t>
            </w:r>
            <w:proofErr w:type="spellStart"/>
            <w:r>
              <w:t>Краспан</w:t>
            </w:r>
            <w:proofErr w:type="spellEnd"/>
            <w:r>
              <w:t>» панели). В цветовом решении рекомендуется использовать цветовую гамму спокойных пастельных тонов различной степени насыщенности, гармонично сочетающуюся с окружающей средой.</w:t>
            </w:r>
            <w:proofErr w:type="gramStart"/>
            <w:r>
              <w:t xml:space="preserve"> .</w:t>
            </w:r>
            <w:proofErr w:type="gramEnd"/>
            <w:r>
              <w:t xml:space="preserve"> Архитектурные решения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BF5176" w:rsidRPr="00B25DAB" w:rsidTr="00CA2A03">
        <w:trPr>
          <w:jc w:val="center"/>
        </w:trPr>
        <w:tc>
          <w:tcPr>
            <w:tcW w:w="3952" w:type="dxa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F5176" w:rsidRPr="00B25DAB" w:rsidRDefault="00BF5176" w:rsidP="00CA2A0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BF5176" w:rsidRPr="00EA5BEB" w:rsidRDefault="00BF5176" w:rsidP="00BF517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 xml:space="preserve">Начальный размер годовой арендной платы: 165 000 (сто шестьдесят пять тысяч) рублей 00 копеек (НДС не облагается). </w:t>
      </w:r>
    </w:p>
    <w:p w:rsidR="00BF5176" w:rsidRPr="00EA5BEB" w:rsidRDefault="00BF5176" w:rsidP="00BF517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>Шаг аукциона:  4</w:t>
      </w:r>
      <w:r>
        <w:rPr>
          <w:b/>
        </w:rPr>
        <w:t xml:space="preserve"> </w:t>
      </w:r>
      <w:r w:rsidRPr="00EA5BEB">
        <w:rPr>
          <w:b/>
        </w:rPr>
        <w:t xml:space="preserve">000 (четыре тысячи) рублей 00 копеек. </w:t>
      </w:r>
    </w:p>
    <w:p w:rsidR="00BF5176" w:rsidRPr="00EA5BEB" w:rsidRDefault="00BF5176" w:rsidP="00BF517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 xml:space="preserve">Задаток: 165 000 (сто шестьдесят пять тысяч) рублей 00 копеек. </w:t>
      </w:r>
    </w:p>
    <w:p w:rsidR="00BF5176" w:rsidRDefault="00BF5176" w:rsidP="00BF517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>Срок аренды земельного участка: 38 месяцев.</w:t>
      </w:r>
    </w:p>
    <w:p w:rsidR="00BF5176" w:rsidRDefault="00BF5176" w:rsidP="00F04B4C">
      <w:pPr>
        <w:tabs>
          <w:tab w:val="left" w:pos="540"/>
        </w:tabs>
        <w:spacing w:line="240" w:lineRule="auto"/>
        <w:ind w:firstLine="567"/>
        <w:jc w:val="both"/>
      </w:pPr>
    </w:p>
    <w:p w:rsidR="009A200F" w:rsidRDefault="009A200F" w:rsidP="00421A0D">
      <w:pPr>
        <w:spacing w:line="240" w:lineRule="auto"/>
        <w:ind w:firstLine="567"/>
        <w:jc w:val="both"/>
      </w:pPr>
    </w:p>
    <w:p w:rsidR="009A200F" w:rsidRDefault="009A200F" w:rsidP="00421A0D">
      <w:pPr>
        <w:spacing w:line="240" w:lineRule="auto"/>
        <w:ind w:firstLine="567"/>
        <w:jc w:val="both"/>
      </w:pPr>
    </w:p>
    <w:p w:rsidR="009A200F" w:rsidRDefault="009A200F" w:rsidP="00421A0D">
      <w:pPr>
        <w:spacing w:line="240" w:lineRule="auto"/>
        <w:ind w:firstLine="567"/>
        <w:jc w:val="both"/>
      </w:pPr>
    </w:p>
    <w:p w:rsidR="009A200F" w:rsidRDefault="009A200F" w:rsidP="009A200F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 xml:space="preserve">Форма торгов – </w:t>
      </w:r>
      <w:r>
        <w:rPr>
          <w:b/>
          <w:sz w:val="20"/>
          <w:szCs w:val="20"/>
        </w:rPr>
        <w:t>АУКЦИОН</w:t>
      </w:r>
    </w:p>
    <w:p w:rsidR="009A200F" w:rsidRDefault="009A200F" w:rsidP="009A200F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подачи предложений о цене – открытая.</w:t>
      </w:r>
    </w:p>
    <w:p w:rsidR="009A200F" w:rsidRDefault="009A200F" w:rsidP="009A200F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>
        <w:rPr>
          <w:b/>
          <w:sz w:val="20"/>
          <w:szCs w:val="20"/>
          <w:u w:val="single"/>
        </w:rPr>
        <w:t>24</w:t>
      </w:r>
      <w:r w:rsidRPr="00BF5176">
        <w:rPr>
          <w:b/>
          <w:sz w:val="20"/>
          <w:szCs w:val="20"/>
          <w:u w:val="single"/>
        </w:rPr>
        <w:t xml:space="preserve"> АПРЕЛЯ</w:t>
      </w:r>
      <w:r>
        <w:rPr>
          <w:b/>
          <w:sz w:val="20"/>
          <w:szCs w:val="20"/>
          <w:u w:val="single"/>
        </w:rPr>
        <w:t xml:space="preserve"> 2018 ГОДА</w:t>
      </w:r>
      <w:r>
        <w:rPr>
          <w:b/>
          <w:sz w:val="20"/>
          <w:szCs w:val="20"/>
        </w:rPr>
        <w:t xml:space="preserve">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9A200F" w:rsidRDefault="009A200F" w:rsidP="009A200F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  <w:u w:val="single"/>
        </w:rPr>
        <w:t>23 МАРТА 2018 ГОДА</w:t>
      </w:r>
      <w:r>
        <w:rPr>
          <w:sz w:val="20"/>
          <w:szCs w:val="20"/>
        </w:rPr>
        <w:t xml:space="preserve">. </w:t>
      </w:r>
    </w:p>
    <w:p w:rsidR="009A200F" w:rsidRDefault="009A200F" w:rsidP="009A200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>
        <w:rPr>
          <w:b/>
          <w:u w:val="single"/>
        </w:rPr>
        <w:t>17 АПРЕЛЯ 2018 ГОДА</w:t>
      </w:r>
      <w:r>
        <w:rPr>
          <w:b/>
        </w:rPr>
        <w:t>.</w:t>
      </w:r>
    </w:p>
    <w:p w:rsidR="009A200F" w:rsidRDefault="009A200F" w:rsidP="009A200F">
      <w:pPr>
        <w:tabs>
          <w:tab w:val="left" w:pos="540"/>
        </w:tabs>
        <w:spacing w:line="240" w:lineRule="auto"/>
        <w:ind w:firstLine="567"/>
        <w:jc w:val="both"/>
      </w:pPr>
      <w:r>
        <w:t>Рассмотрение заявок, документов претендентов и допуск их к участию в аукционе производится  20 апреля 2018 года.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49:09:030301:444 площадью 900 кв. м, разрешенное использование – объекты придорожного сервиса в городе Магадане, шоссе </w:t>
      </w:r>
      <w:proofErr w:type="spellStart"/>
      <w:r>
        <w:rPr>
          <w:b/>
        </w:rPr>
        <w:t>Марчеканское</w:t>
      </w:r>
      <w:proofErr w:type="spellEnd"/>
      <w:r>
        <w:rPr>
          <w:b/>
        </w:rPr>
        <w:t xml:space="preserve">. 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августа 2017 года № 253-р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Магадане, по Марчеканскому шоссе»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49:09:030301:444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ТЗ 502 Зона объектов автомобильного транспорта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Объекты придорожного сервиса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 xml:space="preserve">г. Магадан, шоссе </w:t>
            </w:r>
            <w:proofErr w:type="spellStart"/>
            <w:r>
              <w:t>Марчеканское</w:t>
            </w:r>
            <w:proofErr w:type="spellEnd"/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900 кв. м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A200F" w:rsidTr="00686A74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686A74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Этажность не более 4 этажей</w:t>
            </w:r>
          </w:p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- 70</w:t>
            </w:r>
          </w:p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- по границам красных линий</w:t>
            </w:r>
          </w:p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процент озеленения - 20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МУП г. «Магадантеплосеть» от 25.04.2016 № 08-877):</w:t>
            </w:r>
            <w:r>
              <w:t xml:space="preserve"> теплоснабжение к городским тепловым сетям невозможно.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>
              <w:t>электрокотлы</w:t>
            </w:r>
            <w:proofErr w:type="spellEnd"/>
            <w:r>
              <w:t xml:space="preserve">. При решении установки </w:t>
            </w:r>
            <w:proofErr w:type="spellStart"/>
            <w:r>
              <w:t>электрокотлов</w:t>
            </w:r>
            <w:proofErr w:type="spellEnd"/>
            <w:r>
              <w:t xml:space="preserve"> необходимо получить технические условия от </w:t>
            </w:r>
            <w:proofErr w:type="spellStart"/>
            <w:r>
              <w:t>электроснабжающей</w:t>
            </w:r>
            <w:proofErr w:type="spellEnd"/>
            <w:r>
              <w:t xml:space="preserve"> организации.</w:t>
            </w:r>
          </w:p>
          <w:p w:rsidR="009A200F" w:rsidRDefault="009A200F" w:rsidP="00686A74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20.03.2015 № 2009):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ТВК-2099, максимальное разрешенное водопотребление – 3 куб. м в сутки, гарантируемый напор в точке подключения –26 м.  Канализация – место присоединения к канализации, находящейся в хозяйственном ведении МУП г. Магадана «Водоканал» - КК-7027, максимальное разрешенное водоотведение стоков – 5 куб. м в сутки, ориентировочная протяженность трассы до точки подключения – 225 м</w:t>
            </w:r>
            <w:proofErr w:type="gramEnd"/>
            <w:r>
              <w:t>. 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 xml:space="preserve">дств </w:t>
            </w:r>
            <w:r>
              <w:lastRenderedPageBreak/>
              <w:t>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rPr>
                <w:b/>
              </w:rPr>
              <w:t xml:space="preserve">Размещение объекта капитального строительства на земельном участке: </w:t>
            </w:r>
            <w:r>
              <w:t xml:space="preserve">схему планировочной организации земельного участка выполнить </w:t>
            </w:r>
            <w:proofErr w:type="gramStart"/>
            <w:r>
              <w:t>согласно требований</w:t>
            </w:r>
            <w:proofErr w:type="gramEnd"/>
            <w:r>
              <w:t xml:space="preserve"> </w:t>
            </w:r>
            <w:proofErr w:type="spellStart"/>
            <w:r>
              <w:t>СНиП</w:t>
            </w:r>
            <w:proofErr w:type="spellEnd"/>
            <w:r>
              <w:t xml:space="preserve"> 2.07.01-89* «Градостроительство. Планировка и застройка городских и сельских поселений».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учесть градостроительные условия размещения объекта придорожного сервиса, использовать прогрессивные конструктивные системы и отделочные материалы. Проектом предусмотреть строительство здания этажностью не более 4 этажей. При выборе конструктивных решений возможно использование жесткого полного монолитного каркаса (с несущими монолитными колоннами лестничными маршами, монолитным диском перекрытия) или сборно-монолитного каркаса. При разработке проекта использовать современные, экологически безопасные строительные материалы.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Внешний облик объекта.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Архитектурный облик объекта придорожного сервиса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решений, использование остекления рамп, лифтовых подъемников, пандусов.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 придорожного сервиса,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165 000 (сто шестьдесят пять  тысяч) рублей 00 копеек (НДС не облагается).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4 000 (четыре тысячи) рублей 00 копеек.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165 000 (сто шестьдесят пять тысяч) рублей 00 копеек.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9A200F" w:rsidRDefault="009A200F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</w:t>
      </w:r>
      <w:proofErr w:type="gramStart"/>
      <w:r w:rsidRPr="00807134">
        <w:t>г</w:t>
      </w:r>
      <w:proofErr w:type="gramEnd"/>
      <w:r w:rsidRPr="00807134">
        <w:t>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E28"/>
    <w:rsid w:val="001142A4"/>
    <w:rsid w:val="00124795"/>
    <w:rsid w:val="00125066"/>
    <w:rsid w:val="00125F90"/>
    <w:rsid w:val="00130CFC"/>
    <w:rsid w:val="00130F85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F4327"/>
    <w:rsid w:val="001F6B9A"/>
    <w:rsid w:val="00204730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303F"/>
    <w:rsid w:val="002B7808"/>
    <w:rsid w:val="002C5687"/>
    <w:rsid w:val="002D15D4"/>
    <w:rsid w:val="002D1827"/>
    <w:rsid w:val="002D3B47"/>
    <w:rsid w:val="002E0C39"/>
    <w:rsid w:val="002F165D"/>
    <w:rsid w:val="002F32E6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B008C"/>
    <w:rsid w:val="003B2438"/>
    <w:rsid w:val="003B4C8F"/>
    <w:rsid w:val="003C199F"/>
    <w:rsid w:val="003C3C2E"/>
    <w:rsid w:val="003D4015"/>
    <w:rsid w:val="003D5A45"/>
    <w:rsid w:val="003D7CC6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3B75"/>
    <w:rsid w:val="005306E2"/>
    <w:rsid w:val="00532FE3"/>
    <w:rsid w:val="0054124E"/>
    <w:rsid w:val="00542700"/>
    <w:rsid w:val="00542ACB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B2618"/>
    <w:rsid w:val="007B4CA8"/>
    <w:rsid w:val="007C2E0B"/>
    <w:rsid w:val="007C3734"/>
    <w:rsid w:val="007C49D7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74CB"/>
    <w:rsid w:val="00921E42"/>
    <w:rsid w:val="009256F0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501F"/>
    <w:rsid w:val="009D52CB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81D3F"/>
    <w:rsid w:val="00C83B36"/>
    <w:rsid w:val="00C87478"/>
    <w:rsid w:val="00C90931"/>
    <w:rsid w:val="00C953C7"/>
    <w:rsid w:val="00CA27E5"/>
    <w:rsid w:val="00CA4CB1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2E1-4753-42BE-8CA2-79A5F2E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2018-03-11T22:25:00Z</cp:lastPrinted>
  <dcterms:created xsi:type="dcterms:W3CDTF">2018-03-18T22:31:00Z</dcterms:created>
  <dcterms:modified xsi:type="dcterms:W3CDTF">2018-03-18T22:40:00Z</dcterms:modified>
</cp:coreProperties>
</file>