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E55208">
        <w:t xml:space="preserve"> </w:t>
      </w:r>
      <w:bookmarkStart w:id="0" w:name="_GoBack"/>
      <w:bookmarkEnd w:id="0"/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07568E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27</w:t>
      </w:r>
      <w:r w:rsidR="00EF2961">
        <w:rPr>
          <w:b/>
          <w:sz w:val="20"/>
          <w:szCs w:val="20"/>
        </w:rPr>
        <w:t xml:space="preserve"> </w:t>
      </w:r>
      <w:r w:rsidR="00581EF2">
        <w:rPr>
          <w:b/>
          <w:sz w:val="20"/>
          <w:szCs w:val="20"/>
        </w:rPr>
        <w:t>НОЯБРЯ</w:t>
      </w:r>
      <w:r w:rsidR="00EF2961">
        <w:rPr>
          <w:b/>
          <w:sz w:val="20"/>
          <w:szCs w:val="20"/>
        </w:rPr>
        <w:t xml:space="preserve"> 2019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07568E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</w:t>
      </w:r>
      <w:r w:rsidR="00E55208">
        <w:rPr>
          <w:b/>
          <w:sz w:val="20"/>
          <w:szCs w:val="20"/>
        </w:rPr>
        <w:t xml:space="preserve">ОКТЯБРЯ 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07568E">
        <w:rPr>
          <w:b/>
        </w:rPr>
        <w:t>19</w:t>
      </w:r>
      <w:r>
        <w:rPr>
          <w:b/>
        </w:rPr>
        <w:t xml:space="preserve"> </w:t>
      </w:r>
      <w:r w:rsidR="00E55208">
        <w:rPr>
          <w:b/>
        </w:rPr>
        <w:t>НОЯБРЯ</w:t>
      </w:r>
      <w:r>
        <w:rPr>
          <w:b/>
        </w:rPr>
        <w:t xml:space="preserve">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07568E">
        <w:rPr>
          <w:b/>
        </w:rPr>
        <w:t>22</w:t>
      </w:r>
      <w:r w:rsidR="00581EF2">
        <w:rPr>
          <w:b/>
        </w:rPr>
        <w:t xml:space="preserve"> </w:t>
      </w:r>
      <w:r w:rsidR="00E55208">
        <w:rPr>
          <w:b/>
        </w:rPr>
        <w:t>НОЯБРЯ</w:t>
      </w:r>
      <w:r>
        <w:rPr>
          <w:b/>
        </w:rPr>
        <w:t xml:space="preserve">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7C1446" w:rsidRPr="00B25DAB" w:rsidRDefault="007C1446" w:rsidP="007C14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A67974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7568E">
        <w:rPr>
          <w:b/>
        </w:rPr>
        <w:t>Дачный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 w:rsidR="002A617E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07568E">
        <w:rPr>
          <w:b/>
        </w:rPr>
        <w:t>0910:95</w:t>
      </w:r>
      <w:r>
        <w:rPr>
          <w:b/>
        </w:rPr>
        <w:t xml:space="preserve"> </w:t>
      </w:r>
      <w:r w:rsidRPr="00B25DAB">
        <w:rPr>
          <w:b/>
        </w:rPr>
        <w:t xml:space="preserve"> площадью </w:t>
      </w:r>
      <w:r w:rsidR="0007568E">
        <w:rPr>
          <w:b/>
        </w:rPr>
        <w:t>748</w:t>
      </w:r>
      <w:r w:rsidRPr="00B25DAB">
        <w:rPr>
          <w:b/>
        </w:rPr>
        <w:t xml:space="preserve"> кв. м</w:t>
      </w:r>
      <w:r w:rsidR="0007568E">
        <w:rPr>
          <w:b/>
        </w:rPr>
        <w:t>,</w:t>
      </w:r>
      <w:r>
        <w:rPr>
          <w:b/>
        </w:rPr>
        <w:t xml:space="preserve"> по адресу: город Магадан, </w:t>
      </w:r>
      <w:r w:rsidR="0007568E">
        <w:rPr>
          <w:b/>
        </w:rPr>
        <w:t>в районе Дукчинского шоссе.</w:t>
      </w:r>
      <w:r>
        <w:rPr>
          <w:b/>
        </w:rPr>
        <w:t xml:space="preserve"> </w:t>
      </w:r>
      <w:r w:rsidRPr="00B25DAB">
        <w:rPr>
          <w:b/>
        </w:rPr>
        <w:t xml:space="preserve"> </w:t>
      </w:r>
    </w:p>
    <w:p w:rsidR="007C1446" w:rsidRPr="00B25DAB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 </w:t>
      </w:r>
      <w:r w:rsidR="0007568E">
        <w:t>от 1</w:t>
      </w:r>
      <w:r w:rsidR="002A617E">
        <w:t xml:space="preserve">7 октября </w:t>
      </w:r>
      <w:r>
        <w:t>2019</w:t>
      </w:r>
      <w:r w:rsidRPr="00B25DAB">
        <w:t xml:space="preserve"> г</w:t>
      </w:r>
      <w:r w:rsidR="00A67974">
        <w:t>.</w:t>
      </w:r>
      <w:r w:rsidRPr="00B25DAB">
        <w:t xml:space="preserve"> № </w:t>
      </w:r>
      <w:r>
        <w:t xml:space="preserve"> </w:t>
      </w:r>
      <w:r w:rsidR="0007568E">
        <w:t>412</w:t>
      </w:r>
      <w:r w:rsidRPr="00B25DAB">
        <w:t xml:space="preserve">-р «О проведении аукциона </w:t>
      </w:r>
      <w:r>
        <w:t xml:space="preserve">по продаже </w:t>
      </w:r>
      <w:r w:rsidR="0007568E">
        <w:t xml:space="preserve">дачного </w:t>
      </w:r>
      <w:r w:rsidRPr="00B25DAB">
        <w:t xml:space="preserve">земельного участка </w:t>
      </w:r>
      <w:r>
        <w:t xml:space="preserve">по адресу:  город Магадан, </w:t>
      </w:r>
      <w:r w:rsidR="0007568E">
        <w:t xml:space="preserve">в </w:t>
      </w:r>
      <w:r>
        <w:t>район</w:t>
      </w:r>
      <w:r w:rsidR="0007568E">
        <w:t>е</w:t>
      </w:r>
      <w:r>
        <w:t xml:space="preserve"> </w:t>
      </w:r>
      <w:r w:rsidR="0007568E">
        <w:t>Дукчинского шоссе</w:t>
      </w:r>
      <w:r>
        <w:t>».</w:t>
      </w:r>
    </w:p>
    <w:p w:rsidR="007C1446" w:rsidRPr="006F72B1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99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80"/>
      </w:tblGrid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Кадастровый номер земельного участка: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49:09:030910:95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Градостроительная зона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67974">
              <w:t>Зона садоводства и дачного строительства СХЗ 705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</w:pPr>
            <w:r w:rsidRPr="00A67974">
              <w:t>Виды разрешенного использования земельного участка: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</w:pPr>
            <w:r w:rsidRPr="00A67974">
              <w:t xml:space="preserve">Дачный земельный участок. Указанный вид разрешенного использования равнозначен виду: садовый земельный участок, ведение садоводства. 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Местоположение земельного участка: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Дукчинского шоссе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Площадь земельного участка: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748 кв. м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Категория земель: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Земли населённых пунктов</w:t>
            </w:r>
          </w:p>
        </w:tc>
      </w:tr>
      <w:tr w:rsidR="00A67974" w:rsidRPr="00A67974" w:rsidTr="00A67974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 xml:space="preserve">Граница со </w:t>
            </w:r>
            <w:proofErr w:type="gramStart"/>
            <w:r w:rsidRPr="00A67974">
              <w:t>смежными</w:t>
            </w:r>
            <w:proofErr w:type="gramEnd"/>
            <w:r w:rsidRPr="00A67974">
              <w:t xml:space="preserve"> земельными </w:t>
            </w:r>
          </w:p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участками: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Отсутствует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Обременения земельного участка: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Отсутствуют</w:t>
            </w:r>
          </w:p>
        </w:tc>
      </w:tr>
      <w:tr w:rsidR="00A67974" w:rsidRPr="00A67974" w:rsidTr="00A679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Ограничения использования земельного участка:</w:t>
            </w:r>
          </w:p>
        </w:tc>
        <w:tc>
          <w:tcPr>
            <w:tcW w:w="5980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 xml:space="preserve">Отсутствуют </w:t>
            </w:r>
          </w:p>
        </w:tc>
      </w:tr>
      <w:tr w:rsidR="00A67974" w:rsidRPr="00A67974" w:rsidTr="00A67974">
        <w:trPr>
          <w:jc w:val="center"/>
        </w:trPr>
        <w:tc>
          <w:tcPr>
            <w:tcW w:w="9968" w:type="dxa"/>
            <w:gridSpan w:val="3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center"/>
            </w:pPr>
            <w:r w:rsidRPr="00A67974">
              <w:t xml:space="preserve">Для земельных участков, в соответствии с видом разрешенного использования которых, </w:t>
            </w:r>
          </w:p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center"/>
            </w:pPr>
            <w:r w:rsidRPr="00A67974">
              <w:t>предусмотрено строительство</w:t>
            </w:r>
          </w:p>
        </w:tc>
      </w:tr>
      <w:tr w:rsidR="00A67974" w:rsidRPr="00A67974" w:rsidTr="00A67974">
        <w:trPr>
          <w:jc w:val="center"/>
        </w:trPr>
        <w:tc>
          <w:tcPr>
            <w:tcW w:w="3952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</w:pPr>
            <w:r w:rsidRPr="00A67974">
              <w:t>Параметры разрешенного строительства объекта капитального строительства</w:t>
            </w:r>
          </w:p>
        </w:tc>
        <w:tc>
          <w:tcPr>
            <w:tcW w:w="6016" w:type="dxa"/>
            <w:gridSpan w:val="2"/>
            <w:shd w:val="clear" w:color="auto" w:fill="auto"/>
          </w:tcPr>
          <w:p w:rsidR="00A67974" w:rsidRPr="00A67974" w:rsidRDefault="00A67974" w:rsidP="00A67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67974">
              <w:t xml:space="preserve">Ведение садоводства: </w:t>
            </w:r>
          </w:p>
          <w:p w:rsidR="00A67974" w:rsidRPr="00A67974" w:rsidRDefault="00A67974" w:rsidP="00A67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67974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A67974" w:rsidRPr="00A67974" w:rsidRDefault="00A67974" w:rsidP="00A67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67974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A67974" w:rsidRPr="00A67974" w:rsidRDefault="00A67974" w:rsidP="00A67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67974">
              <w:t>3. Предельное количество этажей зданий, строений, сооружений - не более 3 этажей.</w:t>
            </w:r>
          </w:p>
          <w:p w:rsidR="00A67974" w:rsidRPr="00A67974" w:rsidRDefault="00A67974" w:rsidP="00A67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67974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A67974" w:rsidRPr="00A67974" w:rsidTr="00A67974">
        <w:trPr>
          <w:jc w:val="center"/>
        </w:trPr>
        <w:tc>
          <w:tcPr>
            <w:tcW w:w="3952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</w:pPr>
            <w:r w:rsidRPr="00A6797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16" w:type="dxa"/>
            <w:gridSpan w:val="2"/>
            <w:shd w:val="clear" w:color="auto" w:fill="auto"/>
          </w:tcPr>
          <w:p w:rsidR="00A67974" w:rsidRPr="00A67974" w:rsidRDefault="00A67974" w:rsidP="00A67974">
            <w:pPr>
              <w:spacing w:line="240" w:lineRule="auto"/>
              <w:jc w:val="both"/>
            </w:pPr>
            <w:r w:rsidRPr="00A67974">
              <w:t xml:space="preserve">Теплоснабжение (письмо  МУП г. Магадана «Магадантеплосеть» от 21.08.2019 № 08-1931/1): земельный участок не находится в границах определенного «Схемой теплоснабжения МО «Город Магадан» на 2014-2029 гг.» эффективного  радиуса теплоснабжения МУП г. Магадана «Магадантеплосеть». Теплоснабжение объекта капитального </w:t>
            </w:r>
            <w:proofErr w:type="gramStart"/>
            <w:r w:rsidRPr="00A67974">
              <w:t>строительства</w:t>
            </w:r>
            <w:proofErr w:type="gramEnd"/>
            <w:r w:rsidRPr="00A67974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67974" w:rsidRPr="00A67974" w:rsidRDefault="00A67974" w:rsidP="00A67974">
            <w:pPr>
              <w:spacing w:line="240" w:lineRule="auto"/>
              <w:jc w:val="both"/>
            </w:pPr>
            <w:r w:rsidRPr="00A67974">
              <w:t>Водоснабжение и канализация (письмо МУП г. Магадана «Водоканал» от 18.08.2019 № 5273):</w:t>
            </w:r>
            <w:r w:rsidRPr="00A67974">
              <w:rPr>
                <w:b/>
              </w:rPr>
              <w:t xml:space="preserve"> </w:t>
            </w:r>
            <w:r w:rsidRPr="00A67974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A67974">
              <w:t>-В</w:t>
            </w:r>
            <w:proofErr w:type="gramEnd"/>
            <w:r w:rsidRPr="00A67974">
              <w:t>К – сущ. Максимальное разрешенное водопотребление на хоз.-питьевые нужды -1 куб. м в сутки. Ориентировочная протяженность линий подключения – 2000 метров.</w:t>
            </w:r>
          </w:p>
          <w:p w:rsidR="00A67974" w:rsidRPr="00A67974" w:rsidRDefault="00A67974" w:rsidP="00A67974">
            <w:pPr>
              <w:spacing w:line="240" w:lineRule="auto"/>
              <w:jc w:val="both"/>
            </w:pPr>
            <w:r w:rsidRPr="00A67974">
              <w:t xml:space="preserve">Канализация: место присоединения к канализации,  находящейся в хозяйственном ведении МУП г. Магадана «Водоканал» - КК-6365. </w:t>
            </w:r>
            <w:r w:rsidRPr="00A67974">
              <w:lastRenderedPageBreak/>
              <w:t xml:space="preserve">Максимально разрешенный сброс в точке подключения – 1 куб. м в сутки. </w:t>
            </w:r>
          </w:p>
          <w:p w:rsidR="00A67974" w:rsidRPr="00A67974" w:rsidRDefault="00A67974" w:rsidP="00A67974">
            <w:pPr>
              <w:spacing w:line="240" w:lineRule="auto"/>
              <w:jc w:val="both"/>
            </w:pPr>
            <w:r w:rsidRPr="00A67974">
              <w:t>Сброс веществ, материалов, отходов и сточных вод, указанных в Приложении №4 к Правилам холодного водоснабжения, утвержденных Постановлением Правительства Российской Федерации от 29.07.2013 № 644 запрещен к сбросу в централизованные системы водоотведения.</w:t>
            </w:r>
          </w:p>
          <w:p w:rsidR="00A67974" w:rsidRPr="00A67974" w:rsidRDefault="00A67974" w:rsidP="00A67974">
            <w:pPr>
              <w:spacing w:line="240" w:lineRule="auto"/>
              <w:jc w:val="both"/>
            </w:pPr>
            <w:r w:rsidRPr="00A67974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67974" w:rsidRPr="00A67974" w:rsidTr="00A67974">
        <w:trPr>
          <w:jc w:val="center"/>
        </w:trPr>
        <w:tc>
          <w:tcPr>
            <w:tcW w:w="3952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</w:pPr>
            <w:r w:rsidRPr="00A67974">
              <w:lastRenderedPageBreak/>
              <w:t>Срок действия технических условий:</w:t>
            </w:r>
          </w:p>
        </w:tc>
        <w:tc>
          <w:tcPr>
            <w:tcW w:w="6016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Срок действия технических условий МУП г. Магадана  «Водоканал»    3 года</w:t>
            </w:r>
          </w:p>
        </w:tc>
      </w:tr>
      <w:tr w:rsidR="00A67974" w:rsidRPr="00A67974" w:rsidTr="00A67974">
        <w:trPr>
          <w:jc w:val="center"/>
        </w:trPr>
        <w:tc>
          <w:tcPr>
            <w:tcW w:w="3952" w:type="dxa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</w:pPr>
            <w:r w:rsidRPr="00A67974">
              <w:t>Информация о плате за подключение:</w:t>
            </w:r>
          </w:p>
        </w:tc>
        <w:tc>
          <w:tcPr>
            <w:tcW w:w="6016" w:type="dxa"/>
            <w:gridSpan w:val="2"/>
            <w:shd w:val="clear" w:color="auto" w:fill="auto"/>
          </w:tcPr>
          <w:p w:rsidR="00A67974" w:rsidRPr="00A67974" w:rsidRDefault="00A67974" w:rsidP="00A67974">
            <w:pPr>
              <w:autoSpaceDE w:val="0"/>
              <w:autoSpaceDN w:val="0"/>
              <w:spacing w:line="240" w:lineRule="auto"/>
              <w:jc w:val="both"/>
            </w:pPr>
            <w:r w:rsidRPr="00A67974">
              <w:t>Отсутствует</w:t>
            </w:r>
          </w:p>
        </w:tc>
      </w:tr>
    </w:tbl>
    <w:p w:rsidR="00A67974" w:rsidRPr="00A67974" w:rsidRDefault="00A67974" w:rsidP="00A67974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A67974">
        <w:t xml:space="preserve">Начальная цена земельного участка:  19792  (девятнадцать тысяч семьсот девяносто два) рубля 08 копеек.  (НДС не облагается). </w:t>
      </w:r>
    </w:p>
    <w:p w:rsidR="00A67974" w:rsidRPr="00A67974" w:rsidRDefault="00A67974" w:rsidP="00A67974">
      <w:pPr>
        <w:autoSpaceDE w:val="0"/>
        <w:autoSpaceDN w:val="0"/>
        <w:spacing w:line="240" w:lineRule="auto"/>
        <w:ind w:firstLine="567"/>
        <w:jc w:val="both"/>
      </w:pPr>
      <w:r w:rsidRPr="00A67974">
        <w:t xml:space="preserve">   Шаг аукциона: 500 (пятьсот) рублей 00 копеек. </w:t>
      </w:r>
    </w:p>
    <w:p w:rsidR="00A67974" w:rsidRPr="00A67974" w:rsidRDefault="00A67974" w:rsidP="00A67974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A67974">
        <w:t xml:space="preserve">Задаток:  19000  (девятнадцать тысяч) рублей  00 копеек.  </w:t>
      </w:r>
    </w:p>
    <w:p w:rsidR="006E658E" w:rsidRDefault="006E658E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</w:t>
      </w:r>
      <w:r w:rsidR="00E55208">
        <w:t>аукциона</w:t>
      </w:r>
      <w:r w:rsidR="00421A0D" w:rsidRPr="00807134">
        <w:t xml:space="preserve">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E55208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7568E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974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0667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55208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paragraph" w:styleId="21">
    <w:name w:val="Body Text Indent 2"/>
    <w:basedOn w:val="a"/>
    <w:link w:val="22"/>
    <w:rsid w:val="00A679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paragraph" w:styleId="21">
    <w:name w:val="Body Text Indent 2"/>
    <w:basedOn w:val="a"/>
    <w:link w:val="22"/>
    <w:rsid w:val="00A679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2968-8857-4A16-861C-14B749A0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9</cp:revision>
  <cp:lastPrinted>2019-09-16T00:17:00Z</cp:lastPrinted>
  <dcterms:created xsi:type="dcterms:W3CDTF">2019-10-06T23:59:00Z</dcterms:created>
  <dcterms:modified xsi:type="dcterms:W3CDTF">2019-10-20T22:56:00Z</dcterms:modified>
</cp:coreProperties>
</file>