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8852D8">
        <w:rPr>
          <w:b/>
        </w:rPr>
        <w:t>8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8852D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F67B97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29 апреля 2022</w:t>
            </w:r>
            <w:r w:rsidR="0025031A" w:rsidRPr="00A35BB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25 мая 2022</w:t>
            </w:r>
            <w:r w:rsidR="0025031A" w:rsidRPr="00A35BB1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30 мая</w:t>
            </w:r>
            <w:r w:rsidR="0025031A" w:rsidRPr="00A35BB1">
              <w:rPr>
                <w:b/>
              </w:rPr>
              <w:t xml:space="preserve"> 202</w:t>
            </w:r>
            <w:r w:rsidRPr="00A35BB1">
              <w:rPr>
                <w:b/>
              </w:rPr>
              <w:t>2</w:t>
            </w:r>
            <w:r w:rsidR="0025031A" w:rsidRPr="00A35BB1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F67B97" w:rsidP="00A35BB1">
            <w:pPr>
              <w:tabs>
                <w:tab w:val="left" w:pos="142"/>
              </w:tabs>
              <w:ind w:right="118"/>
              <w:jc w:val="both"/>
            </w:pPr>
            <w:hyperlink r:id="rId11">
              <w:r w:rsidR="0025031A" w:rsidRPr="00A35BB1">
                <w:rPr>
                  <w:lang w:val="en-US"/>
                </w:rPr>
                <w:t>www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rts</w:t>
              </w:r>
              <w:proofErr w:type="spellEnd"/>
              <w:r w:rsidR="0025031A" w:rsidRPr="00A35BB1">
                <w:t>-</w:t>
              </w:r>
              <w:r w:rsidR="0025031A" w:rsidRPr="00A35BB1">
                <w:rPr>
                  <w:lang w:val="en-US"/>
                </w:rPr>
                <w:t>tender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01 июня</w:t>
            </w:r>
            <w:r w:rsidR="00766BA0" w:rsidRPr="00A35BB1">
              <w:rPr>
                <w:b/>
              </w:rPr>
              <w:t xml:space="preserve"> 2022</w:t>
            </w:r>
            <w:r w:rsidR="0025031A" w:rsidRPr="00A35BB1">
              <w:rPr>
                <w:b/>
              </w:rPr>
              <w:t xml:space="preserve"> г. с 10.00</w:t>
            </w:r>
            <w:r w:rsidR="0025031A" w:rsidRPr="00A35BB1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1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D1E59" w:rsidRDefault="000D1E59">
            <w:pPr>
              <w:jc w:val="both"/>
            </w:pPr>
            <w:r>
              <w:t>К</w:t>
            </w:r>
            <w:r w:rsidRPr="000D1E59">
              <w:t xml:space="preserve">онтейнеры для накопления твердых коммунальных отходов (объем 1,1 </w:t>
            </w:r>
            <w:proofErr w:type="spellStart"/>
            <w:r w:rsidRPr="000D1E59">
              <w:t>куб</w:t>
            </w:r>
            <w:proofErr w:type="gramStart"/>
            <w:r w:rsidRPr="000D1E59">
              <w:t>.м</w:t>
            </w:r>
            <w:proofErr w:type="spellEnd"/>
            <w:proofErr w:type="gramEnd"/>
            <w:r w:rsidRPr="000D1E59">
              <w:t>, материал – пластик, передвижной с крышкой и педалью) в количестве 117 штук</w:t>
            </w:r>
            <w:r>
              <w:t>.</w:t>
            </w:r>
            <w:r w:rsidR="0023592C">
              <w:t xml:space="preserve"> Месторасположение имущества: г. Магадан.</w:t>
            </w:r>
          </w:p>
          <w:p w:rsidR="000D1E59" w:rsidRDefault="0025031A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="000D1E59" w:rsidRPr="000D1E59">
              <w:t>Обременение – договор безвозмездного пользования от 11.01.2021 № 218.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Pr="007B6762" w:rsidRDefault="0025031A" w:rsidP="00A35BB1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Прогнозный план приватизации муниципального имущества на 202</w:t>
            </w:r>
            <w:r w:rsidR="00CE6457" w:rsidRPr="007B6762">
              <w:t>2</w:t>
            </w:r>
            <w:r w:rsidRPr="007B6762">
              <w:t xml:space="preserve"> год, постановление мэрии города Магадана от </w:t>
            </w:r>
            <w:r w:rsidR="00CE6457" w:rsidRPr="007B6762">
              <w:t>21.04.2022</w:t>
            </w:r>
            <w:r w:rsidRPr="007B6762">
              <w:t xml:space="preserve"> г. </w:t>
            </w:r>
            <w:r w:rsidR="00CE6457" w:rsidRPr="007B6762">
              <w:t xml:space="preserve"> №</w:t>
            </w:r>
            <w:r w:rsidRPr="007B6762">
              <w:t xml:space="preserve"> </w:t>
            </w:r>
            <w:r w:rsidR="00CE6457" w:rsidRPr="007B6762">
              <w:t>1235-пм</w:t>
            </w:r>
            <w:r w:rsidRPr="007B6762">
              <w:t xml:space="preserve"> «Об условиях приватизации муниципального имущества»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378" w:type="dxa"/>
          </w:tcPr>
          <w:p w:rsidR="008852D8" w:rsidRPr="007B6762" w:rsidRDefault="000442E0" w:rsidP="00A35BB1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842</w:t>
            </w:r>
            <w:r w:rsidR="008852D8" w:rsidRPr="007B6762">
              <w:t> </w:t>
            </w:r>
            <w:r w:rsidRPr="007B6762">
              <w:t>4</w:t>
            </w:r>
            <w:r w:rsidR="00704FD0" w:rsidRPr="007B6762">
              <w:t>00</w:t>
            </w:r>
            <w:r w:rsidR="008852D8" w:rsidRPr="007B6762">
              <w:t xml:space="preserve"> (</w:t>
            </w:r>
            <w:r w:rsidRPr="007B6762">
              <w:t>восемьсот сорок две тысячи четыреста</w:t>
            </w:r>
            <w:r w:rsidR="008852D8" w:rsidRPr="007B6762">
              <w:t>) рублей 00 копеек (в том числе НДС)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378" w:type="dxa"/>
          </w:tcPr>
          <w:p w:rsidR="008852D8" w:rsidRPr="007B6762" w:rsidRDefault="000442E0" w:rsidP="00A35BB1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421</w:t>
            </w:r>
            <w:r w:rsidR="00704FD0" w:rsidRPr="007B6762">
              <w:t> </w:t>
            </w:r>
            <w:r w:rsidRPr="007B6762">
              <w:t>200</w:t>
            </w:r>
            <w:r w:rsidR="00704FD0" w:rsidRPr="007B6762">
              <w:t xml:space="preserve"> </w:t>
            </w:r>
            <w:r w:rsidR="008852D8" w:rsidRPr="007B6762">
              <w:t>(</w:t>
            </w:r>
            <w:r w:rsidRPr="007B6762">
              <w:t>четыреста двадцать одна тысяча двести</w:t>
            </w:r>
            <w:r w:rsidR="008852D8" w:rsidRPr="007B6762">
              <w:t>) рублей 00 копеек (в том числе НДС)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378" w:type="dxa"/>
          </w:tcPr>
          <w:p w:rsidR="008852D8" w:rsidRPr="007B6762" w:rsidRDefault="00704FD0" w:rsidP="00A35BB1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84 240</w:t>
            </w:r>
            <w:r w:rsidR="008852D8" w:rsidRPr="007B6762">
              <w:t xml:space="preserve"> (</w:t>
            </w:r>
            <w:r w:rsidRPr="007B6762">
              <w:t>восемьдесят четыре тысячи двести сорок</w:t>
            </w:r>
            <w:r w:rsidR="008852D8" w:rsidRPr="007B6762">
              <w:t>) рублей 00 копеек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8852D8" w:rsidRPr="007B6762" w:rsidRDefault="00704FD0" w:rsidP="00A35BB1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42 120</w:t>
            </w:r>
            <w:r w:rsidR="008852D8" w:rsidRPr="007B6762">
              <w:t xml:space="preserve"> (</w:t>
            </w:r>
            <w:r w:rsidRPr="007B6762">
              <w:t>сорок две тысячи сто двадцать</w:t>
            </w:r>
            <w:r w:rsidR="008852D8" w:rsidRPr="007B6762">
              <w:t>) рублей 00 копеек</w:t>
            </w:r>
          </w:p>
        </w:tc>
      </w:tr>
      <w:tr w:rsidR="008852D8" w:rsidTr="008852D8">
        <w:trPr>
          <w:trHeight w:val="342"/>
        </w:trPr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378" w:type="dxa"/>
          </w:tcPr>
          <w:p w:rsidR="008852D8" w:rsidRPr="007B6762" w:rsidRDefault="00741039" w:rsidP="00A35BB1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168 480</w:t>
            </w:r>
            <w:r w:rsidR="008852D8" w:rsidRPr="007B6762">
              <w:t xml:space="preserve"> (</w:t>
            </w:r>
            <w:r w:rsidRPr="007B6762">
              <w:t>сто шестьдесят восемь тысяч четыреста восемьдесят</w:t>
            </w:r>
            <w:r w:rsidR="008852D8" w:rsidRPr="007B6762">
              <w:t xml:space="preserve">) рублей 00 копеек </w:t>
            </w:r>
          </w:p>
        </w:tc>
      </w:tr>
      <w:tr w:rsidR="008852D8" w:rsidTr="008852D8">
        <w:trPr>
          <w:trHeight w:val="397"/>
        </w:trPr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8852D8" w:rsidRPr="007B6762" w:rsidRDefault="008852D8" w:rsidP="00C62C37">
            <w:pPr>
              <w:tabs>
                <w:tab w:val="left" w:pos="142"/>
                <w:tab w:val="left" w:pos="540"/>
              </w:tabs>
            </w:pPr>
            <w:r w:rsidRPr="007B6762">
              <w:t>единовременная</w:t>
            </w:r>
          </w:p>
        </w:tc>
      </w:tr>
      <w:tr w:rsidR="008852D8" w:rsidTr="0008650A">
        <w:trPr>
          <w:trHeight w:val="778"/>
        </w:trPr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8852D8" w:rsidRPr="007B6762" w:rsidRDefault="008852D8" w:rsidP="00B34275">
            <w:pPr>
              <w:tabs>
                <w:tab w:val="left" w:pos="142"/>
              </w:tabs>
              <w:ind w:right="118"/>
              <w:jc w:val="both"/>
            </w:pPr>
            <w:proofErr w:type="gramStart"/>
            <w:r w:rsidRPr="007B6762">
              <w:t xml:space="preserve">Аукцион, назначенные на </w:t>
            </w:r>
            <w:r w:rsidR="00741039" w:rsidRPr="007B6762">
              <w:t>11 января 2022</w:t>
            </w:r>
            <w:r w:rsidRPr="007B6762">
              <w:t xml:space="preserve"> г., </w:t>
            </w:r>
            <w:r w:rsidR="00741039" w:rsidRPr="007B6762">
              <w:t>18 апреля 2022</w:t>
            </w:r>
            <w:r w:rsidRPr="007B6762">
              <w:t xml:space="preserve"> г., признаны несостоявшимися в связи с отсутствием заявок</w:t>
            </w:r>
            <w:proofErr w:type="gramEnd"/>
          </w:p>
        </w:tc>
      </w:tr>
    </w:tbl>
    <w:p w:rsidR="00600602" w:rsidRDefault="00600602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lastRenderedPageBreak/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155A6"/>
    <w:rsid w:val="000442E0"/>
    <w:rsid w:val="00050E3E"/>
    <w:rsid w:val="000532C2"/>
    <w:rsid w:val="0008650A"/>
    <w:rsid w:val="000A08C8"/>
    <w:rsid w:val="000C4B21"/>
    <w:rsid w:val="000D1E59"/>
    <w:rsid w:val="0011265A"/>
    <w:rsid w:val="0016502B"/>
    <w:rsid w:val="00171F61"/>
    <w:rsid w:val="001A023F"/>
    <w:rsid w:val="001B72E1"/>
    <w:rsid w:val="001D432D"/>
    <w:rsid w:val="0020068D"/>
    <w:rsid w:val="002025C0"/>
    <w:rsid w:val="002344C5"/>
    <w:rsid w:val="0023592C"/>
    <w:rsid w:val="0025031A"/>
    <w:rsid w:val="002A0F18"/>
    <w:rsid w:val="002E4E00"/>
    <w:rsid w:val="00432330"/>
    <w:rsid w:val="004A659A"/>
    <w:rsid w:val="004A6B67"/>
    <w:rsid w:val="004E410A"/>
    <w:rsid w:val="005061C7"/>
    <w:rsid w:val="00526E04"/>
    <w:rsid w:val="00537CBF"/>
    <w:rsid w:val="00566385"/>
    <w:rsid w:val="00600602"/>
    <w:rsid w:val="00683C7A"/>
    <w:rsid w:val="00703C2A"/>
    <w:rsid w:val="00704FD0"/>
    <w:rsid w:val="00710133"/>
    <w:rsid w:val="00741039"/>
    <w:rsid w:val="007604CA"/>
    <w:rsid w:val="00766BA0"/>
    <w:rsid w:val="007B6762"/>
    <w:rsid w:val="007E3C5F"/>
    <w:rsid w:val="00824BCA"/>
    <w:rsid w:val="00831B2E"/>
    <w:rsid w:val="008626CE"/>
    <w:rsid w:val="008852D8"/>
    <w:rsid w:val="008F2B84"/>
    <w:rsid w:val="00A35BB1"/>
    <w:rsid w:val="00AD7C98"/>
    <w:rsid w:val="00AE50C0"/>
    <w:rsid w:val="00B04C1A"/>
    <w:rsid w:val="00B34275"/>
    <w:rsid w:val="00B40B3C"/>
    <w:rsid w:val="00B72F73"/>
    <w:rsid w:val="00BE498C"/>
    <w:rsid w:val="00C57FAA"/>
    <w:rsid w:val="00CE20A4"/>
    <w:rsid w:val="00CE3641"/>
    <w:rsid w:val="00CE6457"/>
    <w:rsid w:val="00D23CC1"/>
    <w:rsid w:val="00D72F0E"/>
    <w:rsid w:val="00DE09E1"/>
    <w:rsid w:val="00E66AA1"/>
    <w:rsid w:val="00EA4EEE"/>
    <w:rsid w:val="00F04A14"/>
    <w:rsid w:val="00F1790A"/>
    <w:rsid w:val="00F43300"/>
    <w:rsid w:val="00F67B97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2022-04-25T00:32:00Z</dcterms:created>
  <dcterms:modified xsi:type="dcterms:W3CDTF">2022-04-25T00:32:00Z</dcterms:modified>
  <dc:language>ru-RU</dc:language>
</cp:coreProperties>
</file>