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85557F">
        <w:rPr>
          <w:sz w:val="20"/>
        </w:rPr>
        <w:t>2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584E4A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02</w:t>
      </w:r>
      <w:bookmarkStart w:id="0" w:name="_GoBack"/>
      <w:bookmarkEnd w:id="0"/>
      <w:r w:rsidR="00031747" w:rsidRPr="00820748">
        <w:rPr>
          <w:b/>
          <w:u w:val="single"/>
        </w:rPr>
        <w:t xml:space="preserve"> </w:t>
      </w:r>
      <w:r w:rsidR="00820748"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820748" w:rsidRPr="00820748">
        <w:rPr>
          <w:b/>
        </w:rPr>
        <w:t>29</w:t>
      </w:r>
      <w:r w:rsidRPr="00820748">
        <w:rPr>
          <w:b/>
        </w:rPr>
        <w:t xml:space="preserve">  МА</w:t>
      </w:r>
      <w:r w:rsidR="00820748" w:rsidRPr="00820748">
        <w:rPr>
          <w:b/>
        </w:rPr>
        <w:t>Я</w:t>
      </w:r>
      <w:r w:rsidRPr="00820748">
        <w:rPr>
          <w:b/>
        </w:rPr>
        <w:t xml:space="preserve"> 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820748" w:rsidRPr="00820748">
        <w:rPr>
          <w:b/>
        </w:rPr>
        <w:t xml:space="preserve"> 23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820748" w:rsidRPr="00820748">
        <w:rPr>
          <w:b/>
        </w:rPr>
        <w:t>26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290F81" w:rsidRPr="00B25DAB" w:rsidRDefault="00290F81" w:rsidP="00290F8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030305:420</w:t>
      </w:r>
      <w:r w:rsidRPr="00B25DAB">
        <w:rPr>
          <w:b/>
        </w:rPr>
        <w:t xml:space="preserve"> площадью </w:t>
      </w:r>
      <w:r>
        <w:rPr>
          <w:b/>
        </w:rPr>
        <w:t xml:space="preserve">534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переулка Марчеканского. </w:t>
      </w:r>
      <w:r w:rsidRPr="00B25DAB">
        <w:rPr>
          <w:b/>
        </w:rPr>
        <w:t xml:space="preserve"> </w:t>
      </w:r>
    </w:p>
    <w:p w:rsidR="00290F81" w:rsidRPr="00B25DAB" w:rsidRDefault="00290F81" w:rsidP="00290F81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24.03.2020 </w:t>
      </w:r>
      <w:r w:rsidRPr="00B25DAB">
        <w:t xml:space="preserve">№ </w:t>
      </w:r>
      <w:r>
        <w:t xml:space="preserve">117-р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переулка Марчеканского».</w:t>
      </w:r>
    </w:p>
    <w:p w:rsidR="00290F81" w:rsidRPr="00B80197" w:rsidRDefault="00290F81" w:rsidP="00290F8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7371"/>
      </w:tblGrid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49:09:030305:420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290F81" w:rsidRPr="009979EE" w:rsidRDefault="00290F81" w:rsidP="00FB688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переулка Марчеканского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534 кв. м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90F81" w:rsidRPr="00B25DAB" w:rsidTr="00FB6884">
        <w:trPr>
          <w:trHeight w:val="466"/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suppressAutoHyphens/>
              <w:spacing w:line="240" w:lineRule="auto"/>
              <w:jc w:val="both"/>
            </w:pPr>
            <w:r>
              <w:t xml:space="preserve">земельный участок с кадастровым № 49:09:030908:76 </w:t>
            </w:r>
            <w:r w:rsidRPr="00A72942">
              <w:t>для строительства объекта промышленности (здание по производству бетона)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</w:pPr>
            <w:r>
              <w:t>Земельный участок частично расположен в границах зоны с особыми условиями использования территории с кадастровым номером 49:09-6.306 «</w:t>
            </w:r>
            <w:r w:rsidRPr="00B35BFF">
              <w:t xml:space="preserve">Охранная зона ВЛ-6 кВ </w:t>
            </w:r>
            <w:r>
              <w:t>«</w:t>
            </w:r>
            <w:r w:rsidRPr="00B35BFF">
              <w:t>ДОК</w:t>
            </w:r>
            <w:r>
              <w:t>»</w:t>
            </w:r>
            <w:r w:rsidRPr="00B35BFF">
              <w:t xml:space="preserve"> от ПС </w:t>
            </w:r>
            <w:r>
              <w:t>«</w:t>
            </w:r>
            <w:r w:rsidRPr="00B35BFF">
              <w:t>ЗКПД</w:t>
            </w:r>
            <w:r>
              <w:t>»</w:t>
            </w:r>
            <w:r w:rsidRPr="00B35BFF">
              <w:t xml:space="preserve"> до ТП-92 (пр.ц.) ПС </w:t>
            </w:r>
            <w:r>
              <w:t>«</w:t>
            </w:r>
            <w:r w:rsidRPr="00B35BFF">
              <w:t>КПД-ТП-134(л.ц.)».</w:t>
            </w: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 земельных участков, расположенных в границах таких зон»,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 xml:space="preserve">д) производить работы ударными механизмами, сбрасывать тяжести массой свыше </w:t>
            </w:r>
            <w:r>
              <w:lastRenderedPageBreak/>
              <w:t>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Доступ к объектам электросетевого хозяйства для их эксплуатации и плановых (регламентных) работ осуществляется в соответствии с гражданским и земельным законодательством.</w:t>
            </w:r>
          </w:p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хозяйства, а также возможность доставки необходимых материалов и техники.</w:t>
            </w:r>
          </w:p>
        </w:tc>
      </w:tr>
      <w:tr w:rsidR="00290F81" w:rsidRPr="00B25DAB" w:rsidTr="00FB688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90F81" w:rsidRPr="00B80197" w:rsidRDefault="00290F81" w:rsidP="00FB6884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290F81" w:rsidRDefault="00290F81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метров.</w:t>
            </w:r>
          </w:p>
          <w:p w:rsidR="00290F81" w:rsidRDefault="00290F81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более 6 этажей.</w:t>
            </w:r>
          </w:p>
          <w:p w:rsidR="00290F81" w:rsidRPr="00B25DAB" w:rsidRDefault="00290F81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80%.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1" w:type="dxa"/>
            <w:shd w:val="clear" w:color="auto" w:fill="auto"/>
          </w:tcPr>
          <w:p w:rsidR="00290F81" w:rsidRPr="00603805" w:rsidRDefault="00290F81" w:rsidP="00FB6884">
            <w:pPr>
              <w:spacing w:line="240" w:lineRule="auto"/>
              <w:jc w:val="both"/>
            </w:pPr>
            <w:r w:rsidRPr="00D43BB8">
              <w:t>Теплоснабжение (письмо МУП г. Магадана «Магадантеплосеть» от 16.01.2020 № 08-88):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>Теплоснабжение объекта капитального строительства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90F81" w:rsidRPr="00603805" w:rsidRDefault="00290F81" w:rsidP="00FB6884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</w:t>
            </w:r>
            <w:r>
              <w:t>30</w:t>
            </w:r>
            <w:r w:rsidRPr="00603805">
              <w:t>.</w:t>
            </w:r>
            <w:r>
              <w:t>12</w:t>
            </w:r>
            <w:r w:rsidRPr="00603805">
              <w:t xml:space="preserve">.2019 № </w:t>
            </w:r>
            <w:r>
              <w:t>8272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ВК-529.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КК-7040. Максимально 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371" w:type="dxa"/>
            <w:shd w:val="clear" w:color="auto" w:fill="auto"/>
          </w:tcPr>
          <w:p w:rsidR="00290F81" w:rsidRPr="00603805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7371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90F81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290F81" w:rsidRPr="00B25DAB" w:rsidRDefault="00290F81" w:rsidP="00FB688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7371" w:type="dxa"/>
            <w:shd w:val="clear" w:color="auto" w:fill="auto"/>
          </w:tcPr>
          <w:p w:rsidR="00290F81" w:rsidRDefault="00290F81" w:rsidP="00FB688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земельного участка размещены бетонные блоки, строительный мусор. Победитель аукциона самостоятельно, за счет собственных средств освобождает земельный участок от указанного движимого имущества. </w:t>
            </w:r>
          </w:p>
        </w:tc>
      </w:tr>
    </w:tbl>
    <w:p w:rsidR="00290F81" w:rsidRPr="00B80197" w:rsidRDefault="00290F81" w:rsidP="00290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3A4910">
        <w:t xml:space="preserve">63 000 </w:t>
      </w:r>
      <w:r w:rsidRPr="00B80197">
        <w:t>(</w:t>
      </w:r>
      <w:r w:rsidR="003A4910">
        <w:t>шестьдесят три тысячи</w:t>
      </w:r>
      <w:r w:rsidRPr="00B80197">
        <w:t xml:space="preserve">) рублей 00 копеек (НДС не облагается). </w:t>
      </w:r>
    </w:p>
    <w:p w:rsidR="00290F81" w:rsidRPr="00B80197" w:rsidRDefault="00290F81" w:rsidP="00290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3A4910">
        <w:t xml:space="preserve">1800 </w:t>
      </w:r>
      <w:r w:rsidRPr="00B80197">
        <w:t>(</w:t>
      </w:r>
      <w:r w:rsidR="003A4910">
        <w:t>одна тысяча восемьсот</w:t>
      </w:r>
      <w:r w:rsidRPr="00B80197">
        <w:t xml:space="preserve">) рублей 00 копеек. </w:t>
      </w:r>
    </w:p>
    <w:p w:rsidR="00290F81" w:rsidRPr="00B80197" w:rsidRDefault="00290F81" w:rsidP="00290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3A4910">
        <w:t xml:space="preserve">63000 </w:t>
      </w:r>
      <w:r w:rsidRPr="00B80197">
        <w:t>(</w:t>
      </w:r>
      <w:r w:rsidR="003A4910">
        <w:t>шестьдесят три тысячи</w:t>
      </w:r>
      <w:r w:rsidRPr="00B80197">
        <w:t xml:space="preserve">) рублей 00 копеек. </w:t>
      </w:r>
    </w:p>
    <w:p w:rsidR="00290F81" w:rsidRDefault="00290F81" w:rsidP="00290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3A4910" w:rsidRDefault="003A4910" w:rsidP="00290F81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>
        <w:t xml:space="preserve">, на сайте мэрии города Магадана </w:t>
      </w:r>
      <w:r w:rsidRPr="00467AB2">
        <w:t xml:space="preserve"> </w:t>
      </w:r>
      <w:r>
        <w:rPr>
          <w:lang w:val="en-US"/>
        </w:rPr>
        <w:t>magadangorod</w:t>
      </w:r>
      <w:r w:rsidRPr="00467AB2">
        <w:t>.</w:t>
      </w:r>
      <w:r>
        <w:rPr>
          <w:lang w:val="en-US"/>
        </w:rPr>
        <w:t>ru</w:t>
      </w:r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576C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4A"/>
    <w:rsid w:val="00584E70"/>
    <w:rsid w:val="00585BFD"/>
    <w:rsid w:val="00587256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96CA4"/>
    <w:rsid w:val="00AA0604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8AD-8401-4330-A5DB-8C4F930B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2020-05-21T03:45:00Z</dcterms:created>
  <dcterms:modified xsi:type="dcterms:W3CDTF">2020-06-03T23:43:00Z</dcterms:modified>
</cp:coreProperties>
</file>