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DA2C9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FB6884" w:rsidRPr="00B25DAB" w:rsidRDefault="00FB6884" w:rsidP="00FB688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030304:781 </w:t>
      </w:r>
      <w:r w:rsidRPr="00B25DAB">
        <w:rPr>
          <w:b/>
        </w:rPr>
        <w:t xml:space="preserve"> площадью </w:t>
      </w:r>
      <w:r>
        <w:rPr>
          <w:b/>
        </w:rPr>
        <w:t xml:space="preserve">380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Промышленному проезду. </w:t>
      </w:r>
      <w:r w:rsidRPr="00B25DAB">
        <w:rPr>
          <w:b/>
        </w:rPr>
        <w:t xml:space="preserve"> </w:t>
      </w:r>
    </w:p>
    <w:p w:rsidR="00FB6884" w:rsidRPr="00B25DAB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16.04.2020 </w:t>
      </w:r>
      <w:r w:rsidRPr="00B25DAB">
        <w:t xml:space="preserve">№ </w:t>
      </w:r>
      <w:r>
        <w:t xml:space="preserve">151-р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Промышленному проезду»</w:t>
      </w:r>
    </w:p>
    <w:p w:rsidR="00FB6884" w:rsidRPr="00B80197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707"/>
      </w:tblGrid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49:09:030304:781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9979EE" w:rsidRDefault="00FB6884" w:rsidP="00FB688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проезд Промышленный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380 кв. м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B6884" w:rsidRPr="00B25DAB" w:rsidTr="00FB6884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FB6884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6884" w:rsidRPr="00B25DAB" w:rsidTr="00FB6884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FB6884" w:rsidRPr="00B80197" w:rsidRDefault="00FB6884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07" w:type="dxa"/>
            <w:shd w:val="clear" w:color="auto" w:fill="auto"/>
          </w:tcPr>
          <w:p w:rsidR="00FB6884" w:rsidRDefault="00FB6884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B6884" w:rsidRDefault="00FB6884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FB6884" w:rsidRPr="00B25DAB" w:rsidRDefault="00FB6884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07" w:type="dxa"/>
            <w:shd w:val="clear" w:color="auto" w:fill="auto"/>
          </w:tcPr>
          <w:p w:rsidR="00FB6884" w:rsidRDefault="00FB6884" w:rsidP="00FB6884">
            <w:pPr>
              <w:spacing w:line="240" w:lineRule="auto"/>
              <w:jc w:val="both"/>
            </w:pPr>
            <w:r w:rsidRPr="00B80197">
              <w:t xml:space="preserve">Теплоснабжение (письмо МУП г. Магадана «Магадантеплосеть» от </w:t>
            </w:r>
            <w:r>
              <w:t>08</w:t>
            </w:r>
            <w:r w:rsidRPr="00B80197">
              <w:t>.</w:t>
            </w:r>
            <w:r>
              <w:t>02</w:t>
            </w:r>
            <w:r w:rsidRPr="00B80197">
              <w:t>.20</w:t>
            </w:r>
            <w:r>
              <w:t>20</w:t>
            </w:r>
            <w:r w:rsidRPr="00B80197">
              <w:t xml:space="preserve"> № 08-</w:t>
            </w:r>
            <w:r>
              <w:t>560/1</w:t>
            </w:r>
            <w:r w:rsidRPr="00B80197">
              <w:t>):</w:t>
            </w:r>
            <w:r>
              <w:t xml:space="preserve"> в связи с большой удаленностью земельного участка от тепловых сетей, т</w:t>
            </w:r>
            <w:r w:rsidRPr="00B80197">
              <w:t xml:space="preserve">еплоснабжение объекта капитального </w:t>
            </w:r>
            <w:proofErr w:type="gramStart"/>
            <w:r w:rsidRPr="00B80197"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B6884" w:rsidRPr="006322C8" w:rsidRDefault="00FB6884" w:rsidP="00FB6884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28</w:t>
            </w:r>
            <w:r w:rsidRPr="00B80197">
              <w:t>.</w:t>
            </w:r>
            <w:r>
              <w:t>02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1590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ТВК-2591, максимальное разрешенное водопотребление – 3 куб. м в сутки. Канализация: место присоединения к канализации,  находящейся в хозяйственном ведении МУП г. Магадана «Водоканал» - КК-85, максимальное разрешенное водоотведение стоков – 3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водоотведения</w:t>
            </w:r>
            <w:proofErr w:type="gramEnd"/>
            <w:r>
              <w:t xml:space="preserve">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B6884" w:rsidRPr="00B25DAB" w:rsidTr="00FB6884">
        <w:trPr>
          <w:jc w:val="center"/>
        </w:trPr>
        <w:tc>
          <w:tcPr>
            <w:tcW w:w="345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07" w:type="dxa"/>
            <w:shd w:val="clear" w:color="auto" w:fill="auto"/>
          </w:tcPr>
          <w:p w:rsidR="00FB6884" w:rsidRPr="00B25DAB" w:rsidRDefault="00FB6884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B6884" w:rsidRPr="00B80197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45 000 </w:t>
      </w:r>
      <w:r w:rsidRPr="00B80197">
        <w:t>(</w:t>
      </w:r>
      <w:r>
        <w:t>сорок пять тысяч</w:t>
      </w:r>
      <w:r w:rsidRPr="00B80197">
        <w:t xml:space="preserve">) рублей 00 копеек (НДС не облагается). </w:t>
      </w:r>
    </w:p>
    <w:p w:rsidR="00FB6884" w:rsidRPr="00B80197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876E69">
        <w:t xml:space="preserve">1300 </w:t>
      </w:r>
      <w:r w:rsidRPr="00B80197">
        <w:t>(</w:t>
      </w:r>
      <w:r w:rsidR="00876E69">
        <w:t>одна тысяча триста</w:t>
      </w:r>
      <w:r w:rsidRPr="00B80197">
        <w:t xml:space="preserve">) рублей 00 копеек. </w:t>
      </w:r>
    </w:p>
    <w:p w:rsidR="00FB6884" w:rsidRPr="00B80197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876E69">
        <w:t xml:space="preserve">45 000 </w:t>
      </w:r>
      <w:r w:rsidRPr="00B80197">
        <w:t>(</w:t>
      </w:r>
      <w:r w:rsidR="00876E69">
        <w:t>сорок пять тысяч</w:t>
      </w:r>
      <w:r w:rsidRPr="00B80197">
        <w:t xml:space="preserve">) рублей 00 копеек. </w:t>
      </w:r>
    </w:p>
    <w:p w:rsidR="00FB6884" w:rsidRPr="00B80197" w:rsidRDefault="00FB6884" w:rsidP="00FB68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290F81" w:rsidRPr="00B80197" w:rsidRDefault="00290F81" w:rsidP="008B379E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2E7F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68D3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2C98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7C29-7B83-4C09-9268-44DF7B3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2020-05-21T03:48:00Z</dcterms:created>
  <dcterms:modified xsi:type="dcterms:W3CDTF">2020-06-03T23:44:00Z</dcterms:modified>
</cp:coreProperties>
</file>