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4761C" w:rsidRDefault="00C4761C" w:rsidP="00C476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030415:213</w:t>
      </w:r>
      <w:r w:rsidRPr="00B25DAB">
        <w:rPr>
          <w:b/>
        </w:rPr>
        <w:t xml:space="preserve"> площадью </w:t>
      </w:r>
      <w:r>
        <w:rPr>
          <w:b/>
        </w:rPr>
        <w:t xml:space="preserve">2404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Транзитной.</w:t>
      </w:r>
    </w:p>
    <w:p w:rsidR="00C4761C" w:rsidRPr="00B25DAB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12 сентября 2019 </w:t>
      </w:r>
      <w:r w:rsidRPr="00B25DAB">
        <w:t xml:space="preserve">года № </w:t>
      </w:r>
      <w:r>
        <w:t>344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Транзитной»</w:t>
      </w:r>
    </w:p>
    <w:p w:rsidR="00C4761C" w:rsidRPr="006A5899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49:09:030415:213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Транзитная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2404 кв. м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4761C" w:rsidRPr="00B25DAB" w:rsidTr="005A40AD">
        <w:trPr>
          <w:trHeight w:val="465"/>
          <w:jc w:val="center"/>
        </w:trPr>
        <w:tc>
          <w:tcPr>
            <w:tcW w:w="3694" w:type="dxa"/>
            <w:shd w:val="clear" w:color="auto" w:fill="auto"/>
          </w:tcPr>
          <w:p w:rsidR="00C4761C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49:09:030305:275 с разрешенным использованием: обслуживание автотранспорта 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4761C" w:rsidRPr="00B25DAB" w:rsidTr="005A40AD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C4761C" w:rsidRPr="006A5899" w:rsidRDefault="00C4761C" w:rsidP="005A40AD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669" w:type="dxa"/>
            <w:shd w:val="clear" w:color="auto" w:fill="auto"/>
          </w:tcPr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C4761C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C4761C" w:rsidRPr="00B25DAB" w:rsidRDefault="00C4761C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C4761C" w:rsidRPr="006D408A" w:rsidRDefault="00C4761C" w:rsidP="005A40AD">
            <w:pPr>
              <w:spacing w:line="240" w:lineRule="auto"/>
              <w:jc w:val="both"/>
            </w:pPr>
            <w:r w:rsidRPr="00B458CD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25.03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08-648/1): подключение к тепловым сетям  земельного участка не представляется возможным в связи с тем, что данный земельный участок не входит в эффективный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 ЦТП № 5, согласно схеме теплоснабжения муниципального образования «Город Магадан».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  <w:r>
              <w:t xml:space="preserve"> </w:t>
            </w:r>
            <w:r w:rsidRPr="006B30C4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26.12</w:t>
            </w:r>
            <w:r w:rsidRPr="00D66522">
              <w:t>.201</w:t>
            </w:r>
            <w:r>
              <w:t xml:space="preserve">7 </w:t>
            </w:r>
            <w:r w:rsidRPr="00D66522">
              <w:t xml:space="preserve"> № </w:t>
            </w:r>
            <w:r>
              <w:t>10783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канализации: Водопровод: место </w:t>
            </w:r>
            <w:r>
              <w:lastRenderedPageBreak/>
              <w:t>присоединения к водопроводу, находящемуся в хозяйственном ведении  МУП г. Магадана «Водоканал»  -  ТВК-18 или ТВК - 19. Максимальное разрешенное водопотребление на хоз. питьевые нужды – 3,0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Гарантируемый напор в точке подключения -14 м. Канализация:  место присоединения к канализации, находящейся в хозяйственном ведении МУП г. Магадана «Водоканал» - КК-4988 (</w:t>
            </w:r>
            <w:proofErr w:type="spellStart"/>
            <w:r>
              <w:t>отм</w:t>
            </w:r>
            <w:proofErr w:type="spellEnd"/>
            <w:r>
              <w:t>. лотка - 36,35), КК-5285 (</w:t>
            </w:r>
            <w:proofErr w:type="spellStart"/>
            <w:r>
              <w:t>отм</w:t>
            </w:r>
            <w:proofErr w:type="gramStart"/>
            <w:r>
              <w:t>.л</w:t>
            </w:r>
            <w:proofErr w:type="gramEnd"/>
            <w:r>
              <w:t>отка</w:t>
            </w:r>
            <w:proofErr w:type="spellEnd"/>
            <w:r>
              <w:t xml:space="preserve"> - 32,16). Разрешенный сброс – 3,0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Выполнение работ по подключению формируемого земельного участка к существующим сетям  инженерно-технического обеспечения в точке подключения на границе существующих сетей производится за 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C4761C" w:rsidRPr="00B25DAB" w:rsidTr="005A40AD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202000</w:t>
      </w:r>
      <w:r w:rsidRPr="00DC4542">
        <w:t xml:space="preserve"> (</w:t>
      </w:r>
      <w:r>
        <w:t>двести две тысячи</w:t>
      </w:r>
      <w:r w:rsidRPr="00DC4542">
        <w:t xml:space="preserve">) рублей 00 копеек (НДС не облагается).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6000 </w:t>
      </w:r>
      <w:r w:rsidRPr="00DC4542">
        <w:t>(</w:t>
      </w:r>
      <w:r>
        <w:t>шесть тысяч</w:t>
      </w:r>
      <w:r w:rsidRPr="00DC4542">
        <w:t xml:space="preserve">) рублей 00 копеек.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202000 </w:t>
      </w:r>
      <w:r w:rsidRPr="00DC4542">
        <w:t>(</w:t>
      </w:r>
      <w:r>
        <w:t>двести две тысячи</w:t>
      </w:r>
      <w:r w:rsidRPr="00DC4542">
        <w:t xml:space="preserve">) рублей 00 копеек.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</w:t>
      </w:r>
      <w:r>
        <w:t>8</w:t>
      </w:r>
      <w:r w:rsidRPr="00DC4542">
        <w:t xml:space="preserve"> месяц</w:t>
      </w:r>
      <w:r>
        <w:t>ев</w:t>
      </w:r>
      <w:r w:rsidRPr="00DC4542">
        <w:t>.</w:t>
      </w:r>
    </w:p>
    <w:p w:rsidR="004C0B95" w:rsidRDefault="004C0B95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1AA4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A5ACE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D0FB-6282-4CEC-9264-CAF720BB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2020-01-28T01:46:00Z</dcterms:created>
  <dcterms:modified xsi:type="dcterms:W3CDTF">2020-01-28T01:46:00Z</dcterms:modified>
</cp:coreProperties>
</file>