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FB4702">
        <w:rPr>
          <w:b/>
        </w:rPr>
        <w:t>40</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CA2D18"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FB4702" w:rsidP="00CD0A90">
            <w:pPr>
              <w:tabs>
                <w:tab w:val="left" w:pos="142"/>
              </w:tabs>
              <w:ind w:right="118"/>
              <w:jc w:val="both"/>
            </w:pPr>
            <w:r>
              <w:t>07 апреля</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FB4702" w:rsidP="00295BCE">
            <w:pPr>
              <w:tabs>
                <w:tab w:val="left" w:pos="142"/>
              </w:tabs>
              <w:ind w:right="118"/>
              <w:jc w:val="both"/>
            </w:pPr>
            <w:r>
              <w:t>05 мая</w:t>
            </w:r>
            <w:r w:rsidR="00502466">
              <w:t xml:space="preserve"> 2023</w:t>
            </w:r>
            <w:r w:rsidR="00502466" w:rsidRPr="000B61E1">
              <w:t xml:space="preserve"> г. в 17.00 по магаданскому времени </w:t>
            </w:r>
            <w:r w:rsidR="00502466">
              <w:t>(09.00 по московскому времени).</w:t>
            </w:r>
          </w:p>
        </w:tc>
      </w:tr>
      <w:tr w:rsidR="00AB6531" w:rsidTr="009B2368">
        <w:tc>
          <w:tcPr>
            <w:tcW w:w="3085" w:type="dxa"/>
            <w:vAlign w:val="center"/>
          </w:tcPr>
          <w:p w:rsidR="00AB6531" w:rsidRDefault="00AB6531" w:rsidP="009B2368">
            <w:pPr>
              <w:tabs>
                <w:tab w:val="left" w:pos="142"/>
                <w:tab w:val="left" w:pos="720"/>
              </w:tabs>
              <w:ind w:right="118"/>
            </w:pPr>
            <w:r>
              <w:t>Дата определения участников:</w:t>
            </w:r>
          </w:p>
        </w:tc>
        <w:tc>
          <w:tcPr>
            <w:tcW w:w="6616" w:type="dxa"/>
            <w:vAlign w:val="center"/>
          </w:tcPr>
          <w:p w:rsidR="00AB6531" w:rsidRDefault="00AB6531">
            <w:pPr>
              <w:tabs>
                <w:tab w:val="left" w:pos="142"/>
              </w:tabs>
              <w:ind w:right="118"/>
              <w:jc w:val="both"/>
            </w:pPr>
            <w:r>
              <w:t>11 мая 2023 г. в 14.00 по магаданскому времени (06.00 по московскому времени).</w:t>
            </w:r>
          </w:p>
        </w:tc>
      </w:tr>
      <w:tr w:rsidR="00AB6531" w:rsidTr="009B2368">
        <w:tc>
          <w:tcPr>
            <w:tcW w:w="3085" w:type="dxa"/>
            <w:vAlign w:val="center"/>
          </w:tcPr>
          <w:p w:rsidR="00AB6531" w:rsidRDefault="00AB6531" w:rsidP="009B2368">
            <w:pPr>
              <w:tabs>
                <w:tab w:val="left" w:pos="142"/>
                <w:tab w:val="left" w:pos="720"/>
              </w:tabs>
              <w:ind w:right="118"/>
            </w:pPr>
            <w:r>
              <w:t>Место подведения итогов продажи:</w:t>
            </w:r>
          </w:p>
        </w:tc>
        <w:tc>
          <w:tcPr>
            <w:tcW w:w="6616" w:type="dxa"/>
            <w:vAlign w:val="center"/>
          </w:tcPr>
          <w:p w:rsidR="00AB6531" w:rsidRDefault="00AB6531">
            <w:pPr>
              <w:tabs>
                <w:tab w:val="left" w:pos="142"/>
              </w:tabs>
              <w:ind w:right="118"/>
              <w:jc w:val="both"/>
              <w:rPr>
                <w:color w:val="0043C8"/>
              </w:rPr>
            </w:pPr>
            <w:hyperlink r:id="rId7" w:history="1">
              <w:r>
                <w:rPr>
                  <w:rStyle w:val="a3"/>
                  <w:color w:val="0043C8"/>
                  <w:lang w:val="en-US"/>
                </w:rPr>
                <w:t>http</w:t>
              </w:r>
              <w:r>
                <w:rPr>
                  <w:rStyle w:val="a3"/>
                  <w:color w:val="0043C8"/>
                </w:rPr>
                <w:t>://</w:t>
              </w:r>
              <w:proofErr w:type="spellStart"/>
              <w:r>
                <w:rPr>
                  <w:rStyle w:val="a3"/>
                  <w:color w:val="0043C8"/>
                  <w:lang w:val="en-US"/>
                </w:rPr>
                <w:t>utp</w:t>
              </w:r>
              <w:proofErr w:type="spellEnd"/>
              <w:r>
                <w:rPr>
                  <w:rStyle w:val="a3"/>
                  <w:color w:val="0043C8"/>
                </w:rPr>
                <w:t>.</w:t>
              </w:r>
              <w:proofErr w:type="spellStart"/>
              <w:r>
                <w:rPr>
                  <w:rStyle w:val="a3"/>
                  <w:color w:val="0043C8"/>
                  <w:lang w:val="en-US"/>
                </w:rPr>
                <w:t>sberbank</w:t>
              </w:r>
              <w:proofErr w:type="spellEnd"/>
              <w:r>
                <w:rPr>
                  <w:rStyle w:val="a3"/>
                  <w:color w:val="0043C8"/>
                </w:rPr>
                <w:t>-</w:t>
              </w:r>
              <w:proofErr w:type="spellStart"/>
              <w:r>
                <w:rPr>
                  <w:rStyle w:val="a3"/>
                  <w:color w:val="0043C8"/>
                  <w:lang w:val="en-US"/>
                </w:rPr>
                <w:t>ast</w:t>
              </w:r>
              <w:proofErr w:type="spellEnd"/>
              <w:r>
                <w:rPr>
                  <w:rStyle w:val="a3"/>
                  <w:color w:val="0043C8"/>
                </w:rPr>
                <w:t>.</w:t>
              </w:r>
              <w:proofErr w:type="spellStart"/>
              <w:r>
                <w:rPr>
                  <w:rStyle w:val="a3"/>
                  <w:color w:val="0043C8"/>
                  <w:lang w:val="en-US"/>
                </w:rPr>
                <w:t>ru</w:t>
              </w:r>
              <w:proofErr w:type="spellEnd"/>
            </w:hyperlink>
          </w:p>
        </w:tc>
      </w:tr>
      <w:tr w:rsidR="00AB6531" w:rsidTr="009B2368">
        <w:tc>
          <w:tcPr>
            <w:tcW w:w="3085" w:type="dxa"/>
            <w:vAlign w:val="center"/>
          </w:tcPr>
          <w:p w:rsidR="00AB6531" w:rsidRDefault="00AB6531" w:rsidP="009B2368">
            <w:pPr>
              <w:tabs>
                <w:tab w:val="left" w:pos="142"/>
                <w:tab w:val="left" w:pos="720"/>
              </w:tabs>
              <w:ind w:right="118"/>
            </w:pPr>
            <w:r>
              <w:t>Дата, время и срок проведения продажи:</w:t>
            </w:r>
          </w:p>
        </w:tc>
        <w:tc>
          <w:tcPr>
            <w:tcW w:w="6616" w:type="dxa"/>
            <w:vAlign w:val="center"/>
          </w:tcPr>
          <w:p w:rsidR="00AB6531" w:rsidRDefault="00AB6531">
            <w:pPr>
              <w:tabs>
                <w:tab w:val="left" w:pos="142"/>
              </w:tabs>
              <w:ind w:right="118"/>
              <w:jc w:val="both"/>
            </w:pPr>
            <w:r>
              <w:t>12 мая 2023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w:t>
            </w:r>
            <w:proofErr w:type="spellStart"/>
            <w:r w:rsidRPr="00677F5F">
              <w:t>Сбербанк-АСТ</w:t>
            </w:r>
            <w:proofErr w:type="spellEnd"/>
            <w:r w:rsidRPr="00677F5F">
              <w:t>» (АО «</w:t>
            </w:r>
            <w:proofErr w:type="spellStart"/>
            <w:r w:rsidRPr="00677F5F">
              <w:t>Сбербанк-АСТ</w:t>
            </w:r>
            <w:proofErr w:type="spellEnd"/>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CC2537" w:rsidRPr="00BE017C" w:rsidTr="00AD4500">
        <w:tc>
          <w:tcPr>
            <w:tcW w:w="9701" w:type="dxa"/>
            <w:gridSpan w:val="3"/>
            <w:shd w:val="clear" w:color="auto" w:fill="FFC000"/>
          </w:tcPr>
          <w:p w:rsidR="00CC2537" w:rsidRPr="00BE017C" w:rsidRDefault="00CC2537" w:rsidP="00CC2537">
            <w:pPr>
              <w:tabs>
                <w:tab w:val="left" w:pos="142"/>
                <w:tab w:val="left" w:pos="720"/>
              </w:tabs>
              <w:ind w:right="118"/>
              <w:jc w:val="center"/>
            </w:pPr>
            <w:r w:rsidRPr="00BE017C">
              <w:t xml:space="preserve">ЛОТ № </w:t>
            </w:r>
            <w:r>
              <w:t>6</w:t>
            </w:r>
          </w:p>
        </w:tc>
      </w:tr>
      <w:tr w:rsidR="00CC2537" w:rsidRPr="00BE017C" w:rsidTr="00AD4500">
        <w:tc>
          <w:tcPr>
            <w:tcW w:w="3085" w:type="dxa"/>
            <w:vAlign w:val="center"/>
          </w:tcPr>
          <w:p w:rsidR="00CC2537" w:rsidRDefault="00CC2537" w:rsidP="00AD4500">
            <w:pPr>
              <w:tabs>
                <w:tab w:val="left" w:pos="142"/>
                <w:tab w:val="left" w:pos="720"/>
              </w:tabs>
              <w:ind w:right="118"/>
            </w:pPr>
            <w:r>
              <w:t>Наименование лота</w:t>
            </w:r>
          </w:p>
        </w:tc>
        <w:tc>
          <w:tcPr>
            <w:tcW w:w="6616" w:type="dxa"/>
            <w:gridSpan w:val="2"/>
            <w:vAlign w:val="center"/>
          </w:tcPr>
          <w:p w:rsidR="00CC2537" w:rsidRPr="00BE017C" w:rsidRDefault="00CC2537" w:rsidP="00AD4500">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r w:rsidRPr="009B7A59">
              <w:t xml:space="preserve">Сокол </w:t>
            </w:r>
            <w:proofErr w:type="spellStart"/>
            <w:r w:rsidRPr="009B7A59">
              <w:t>пгт</w:t>
            </w:r>
            <w:proofErr w:type="spellEnd"/>
            <w:r w:rsidRPr="009B7A59">
              <w:t>., Королева улица, в районе дома № 11, город Магадан</w:t>
            </w:r>
            <w:r>
              <w:t>.</w:t>
            </w:r>
          </w:p>
        </w:tc>
      </w:tr>
      <w:tr w:rsidR="00CC2537" w:rsidTr="00AD4500">
        <w:tc>
          <w:tcPr>
            <w:tcW w:w="3085" w:type="dxa"/>
            <w:vAlign w:val="center"/>
          </w:tcPr>
          <w:p w:rsidR="00CC2537" w:rsidRDefault="00CC2537" w:rsidP="00AD4500">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CC2537" w:rsidRDefault="00CC2537" w:rsidP="00AD4500">
            <w:pPr>
              <w:tabs>
                <w:tab w:val="left" w:pos="142"/>
                <w:tab w:val="left" w:pos="540"/>
              </w:tabs>
              <w:jc w:val="both"/>
            </w:pPr>
            <w:r>
              <w:t>Распоряжение д</w:t>
            </w:r>
            <w:r w:rsidRPr="00A25630">
              <w:t>епартамент</w:t>
            </w:r>
            <w:r>
              <w:t>а</w:t>
            </w:r>
            <w:r w:rsidRPr="00A25630">
              <w:t xml:space="preserve"> имущественных и жилищных отношений мэрии города Магадана</w:t>
            </w:r>
            <w:r w:rsidRPr="001F444B">
              <w:t xml:space="preserve"> от </w:t>
            </w:r>
            <w:r>
              <w:t xml:space="preserve">17.02.2023 </w:t>
            </w:r>
            <w:r w:rsidRPr="001F444B">
              <w:t xml:space="preserve">№ </w:t>
            </w:r>
            <w:r>
              <w:t xml:space="preserve">73-р «О </w:t>
            </w:r>
            <w:r w:rsidRPr="001F444B">
              <w:t>проведен</w:t>
            </w:r>
            <w:proofErr w:type="gramStart"/>
            <w:r w:rsidRPr="001F444B">
              <w:t>ии ау</w:t>
            </w:r>
            <w:proofErr w:type="gramEnd"/>
            <w:r w:rsidRPr="001F444B">
              <w:t>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CC2537" w:rsidTr="00AD4500">
        <w:tc>
          <w:tcPr>
            <w:tcW w:w="3085" w:type="dxa"/>
            <w:vAlign w:val="center"/>
          </w:tcPr>
          <w:p w:rsidR="00CC2537" w:rsidRDefault="00CC2537" w:rsidP="00AD4500">
            <w:pPr>
              <w:tabs>
                <w:tab w:val="left" w:pos="142"/>
                <w:tab w:val="left" w:pos="720"/>
              </w:tabs>
              <w:ind w:right="118"/>
            </w:pPr>
            <w:r>
              <w:t>Место расположения НТО (адресный ориентир)</w:t>
            </w:r>
          </w:p>
        </w:tc>
        <w:tc>
          <w:tcPr>
            <w:tcW w:w="6616" w:type="dxa"/>
            <w:gridSpan w:val="2"/>
            <w:vAlign w:val="center"/>
          </w:tcPr>
          <w:p w:rsidR="00CC2537" w:rsidRDefault="00CC2537" w:rsidP="00AD4500">
            <w:pPr>
              <w:tabs>
                <w:tab w:val="left" w:pos="142"/>
                <w:tab w:val="left" w:pos="540"/>
              </w:tabs>
            </w:pPr>
            <w:r w:rsidRPr="009B7A59">
              <w:t xml:space="preserve">Сокол </w:t>
            </w:r>
            <w:proofErr w:type="spellStart"/>
            <w:r w:rsidRPr="009B7A59">
              <w:t>пгт</w:t>
            </w:r>
            <w:proofErr w:type="spellEnd"/>
            <w:r w:rsidRPr="009B7A59">
              <w:t>., Королева улица, в районе дома № 11, город Магадан</w:t>
            </w:r>
          </w:p>
        </w:tc>
      </w:tr>
      <w:tr w:rsidR="00CC2537" w:rsidTr="00AD4500">
        <w:tc>
          <w:tcPr>
            <w:tcW w:w="3085" w:type="dxa"/>
            <w:vAlign w:val="center"/>
          </w:tcPr>
          <w:p w:rsidR="00CC2537" w:rsidRDefault="00CC2537" w:rsidP="00AD4500">
            <w:pPr>
              <w:tabs>
                <w:tab w:val="left" w:pos="142"/>
                <w:tab w:val="left" w:pos="720"/>
              </w:tabs>
              <w:ind w:right="118"/>
            </w:pPr>
            <w:r>
              <w:t>Учетный номер места размещения НТО*</w:t>
            </w:r>
          </w:p>
        </w:tc>
        <w:tc>
          <w:tcPr>
            <w:tcW w:w="6616" w:type="dxa"/>
            <w:gridSpan w:val="2"/>
            <w:vAlign w:val="center"/>
          </w:tcPr>
          <w:p w:rsidR="00CC2537" w:rsidRDefault="00CC2537" w:rsidP="00AD4500">
            <w:pPr>
              <w:tabs>
                <w:tab w:val="left" w:pos="142"/>
                <w:tab w:val="left" w:pos="540"/>
              </w:tabs>
            </w:pPr>
            <w:r>
              <w:t>210 (в соответствии с приложением № 1 к постановлению мэрии города Магадана от 24.05.2021 № 1482)</w:t>
            </w:r>
          </w:p>
        </w:tc>
      </w:tr>
      <w:tr w:rsidR="00CC2537" w:rsidTr="00AD4500">
        <w:tc>
          <w:tcPr>
            <w:tcW w:w="3085" w:type="dxa"/>
            <w:vAlign w:val="center"/>
          </w:tcPr>
          <w:p w:rsidR="00CC2537" w:rsidRDefault="00CC2537" w:rsidP="00AD4500">
            <w:pPr>
              <w:tabs>
                <w:tab w:val="left" w:pos="142"/>
                <w:tab w:val="left" w:pos="720"/>
              </w:tabs>
              <w:ind w:right="118"/>
            </w:pPr>
            <w:r>
              <w:t>Вид (тип) НТО</w:t>
            </w:r>
          </w:p>
        </w:tc>
        <w:tc>
          <w:tcPr>
            <w:tcW w:w="6616" w:type="dxa"/>
            <w:gridSpan w:val="2"/>
            <w:vAlign w:val="center"/>
          </w:tcPr>
          <w:p w:rsidR="00CC2537" w:rsidRDefault="00CC2537" w:rsidP="00AD4500">
            <w:pPr>
              <w:tabs>
                <w:tab w:val="left" w:pos="142"/>
                <w:tab w:val="left" w:pos="540"/>
              </w:tabs>
            </w:pPr>
            <w:r>
              <w:t>Павильон торговый</w:t>
            </w:r>
          </w:p>
        </w:tc>
      </w:tr>
      <w:tr w:rsidR="00CC2537" w:rsidTr="00AD4500">
        <w:tc>
          <w:tcPr>
            <w:tcW w:w="3085" w:type="dxa"/>
            <w:vAlign w:val="center"/>
          </w:tcPr>
          <w:p w:rsidR="00CC2537" w:rsidRDefault="00CC2537" w:rsidP="00AD4500">
            <w:pPr>
              <w:tabs>
                <w:tab w:val="left" w:pos="142"/>
                <w:tab w:val="left" w:pos="720"/>
              </w:tabs>
              <w:ind w:right="118"/>
            </w:pPr>
            <w:r>
              <w:t>Специализация НТО</w:t>
            </w:r>
          </w:p>
        </w:tc>
        <w:tc>
          <w:tcPr>
            <w:tcW w:w="6616" w:type="dxa"/>
            <w:gridSpan w:val="2"/>
            <w:vAlign w:val="center"/>
          </w:tcPr>
          <w:p w:rsidR="00CC2537" w:rsidRDefault="00CC2537" w:rsidP="00AD4500">
            <w:pPr>
              <w:tabs>
                <w:tab w:val="left" w:pos="142"/>
                <w:tab w:val="left" w:pos="540"/>
              </w:tabs>
              <w:jc w:val="both"/>
            </w:pPr>
            <w:r w:rsidRPr="00832496">
              <w:t>в соответствии с заявлением хозяйствующего субъекта в зависимости от заявленного вида деятельности</w:t>
            </w:r>
            <w:r>
              <w:t xml:space="preserve"> (реализация продовольственных товаров)</w:t>
            </w:r>
          </w:p>
        </w:tc>
      </w:tr>
      <w:tr w:rsidR="00CC2537" w:rsidTr="00AD4500">
        <w:tc>
          <w:tcPr>
            <w:tcW w:w="3085" w:type="dxa"/>
            <w:vAlign w:val="center"/>
          </w:tcPr>
          <w:p w:rsidR="00CC2537" w:rsidRDefault="00CC2537" w:rsidP="00AD4500">
            <w:pPr>
              <w:tabs>
                <w:tab w:val="left" w:pos="142"/>
                <w:tab w:val="left" w:pos="720"/>
              </w:tabs>
              <w:ind w:right="118"/>
            </w:pPr>
            <w:r>
              <w:t>Площадь места размещения НТО</w:t>
            </w:r>
          </w:p>
        </w:tc>
        <w:tc>
          <w:tcPr>
            <w:tcW w:w="6616" w:type="dxa"/>
            <w:gridSpan w:val="2"/>
            <w:vAlign w:val="center"/>
          </w:tcPr>
          <w:p w:rsidR="00CC2537" w:rsidRDefault="00CC2537" w:rsidP="00AD4500">
            <w:pPr>
              <w:tabs>
                <w:tab w:val="left" w:pos="142"/>
                <w:tab w:val="left" w:pos="540"/>
              </w:tabs>
            </w:pPr>
            <w:r>
              <w:t>24 кв</w:t>
            </w:r>
            <w:proofErr w:type="gramStart"/>
            <w:r>
              <w:t>.м</w:t>
            </w:r>
            <w:proofErr w:type="gramEnd"/>
          </w:p>
        </w:tc>
      </w:tr>
      <w:tr w:rsidR="00CC2537" w:rsidTr="00AD4500">
        <w:tc>
          <w:tcPr>
            <w:tcW w:w="3085" w:type="dxa"/>
            <w:vAlign w:val="center"/>
          </w:tcPr>
          <w:p w:rsidR="00CC2537" w:rsidRDefault="00CC2537" w:rsidP="00AD450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CC2537" w:rsidRDefault="00CC2537" w:rsidP="00AD4500">
            <w:pPr>
              <w:tabs>
                <w:tab w:val="left" w:pos="142"/>
                <w:tab w:val="left" w:pos="540"/>
              </w:tabs>
            </w:pPr>
            <w:r w:rsidRPr="009B7A59">
              <w:t>49:09:010022</w:t>
            </w:r>
          </w:p>
        </w:tc>
      </w:tr>
      <w:tr w:rsidR="00CC2537" w:rsidTr="00AD4500">
        <w:trPr>
          <w:trHeight w:val="58"/>
        </w:trPr>
        <w:tc>
          <w:tcPr>
            <w:tcW w:w="3085" w:type="dxa"/>
            <w:vMerge w:val="restart"/>
            <w:vAlign w:val="center"/>
          </w:tcPr>
          <w:p w:rsidR="00CC2537" w:rsidRDefault="00CC2537" w:rsidP="00AD4500">
            <w:pPr>
              <w:tabs>
                <w:tab w:val="left" w:pos="142"/>
                <w:tab w:val="left" w:pos="720"/>
              </w:tabs>
              <w:ind w:right="118"/>
            </w:pPr>
            <w:r>
              <w:t>Координаты места размещения НТО</w:t>
            </w:r>
          </w:p>
        </w:tc>
        <w:tc>
          <w:tcPr>
            <w:tcW w:w="3308" w:type="dxa"/>
            <w:vAlign w:val="center"/>
          </w:tcPr>
          <w:p w:rsidR="00CC2537" w:rsidRDefault="00CC2537" w:rsidP="00AD4500">
            <w:pPr>
              <w:tabs>
                <w:tab w:val="left" w:pos="142"/>
                <w:tab w:val="left" w:pos="540"/>
              </w:tabs>
              <w:jc w:val="center"/>
            </w:pPr>
            <w:proofErr w:type="spellStart"/>
            <w:r>
              <w:t>х</w:t>
            </w:r>
            <w:proofErr w:type="spellEnd"/>
          </w:p>
        </w:tc>
        <w:tc>
          <w:tcPr>
            <w:tcW w:w="3308" w:type="dxa"/>
            <w:vAlign w:val="center"/>
          </w:tcPr>
          <w:p w:rsidR="00CC2537" w:rsidRDefault="00CC2537" w:rsidP="00AD4500">
            <w:pPr>
              <w:tabs>
                <w:tab w:val="left" w:pos="142"/>
                <w:tab w:val="left" w:pos="540"/>
              </w:tabs>
              <w:jc w:val="center"/>
            </w:pPr>
            <w:r>
              <w:t>у</w:t>
            </w:r>
          </w:p>
        </w:tc>
      </w:tr>
      <w:tr w:rsidR="00CC2537" w:rsidTr="00AD4500">
        <w:trPr>
          <w:trHeight w:val="54"/>
        </w:trPr>
        <w:tc>
          <w:tcPr>
            <w:tcW w:w="3085" w:type="dxa"/>
            <w:vMerge/>
            <w:vAlign w:val="center"/>
          </w:tcPr>
          <w:p w:rsidR="00CC2537" w:rsidRDefault="00CC2537" w:rsidP="00AD4500">
            <w:pPr>
              <w:tabs>
                <w:tab w:val="left" w:pos="142"/>
                <w:tab w:val="left" w:pos="720"/>
              </w:tabs>
              <w:ind w:right="118"/>
            </w:pPr>
          </w:p>
        </w:tc>
        <w:tc>
          <w:tcPr>
            <w:tcW w:w="3308" w:type="dxa"/>
          </w:tcPr>
          <w:p w:rsidR="00CC2537" w:rsidRDefault="00CC2537" w:rsidP="00AD4500">
            <w:pPr>
              <w:autoSpaceDE w:val="0"/>
              <w:autoSpaceDN w:val="0"/>
              <w:adjustRightInd w:val="0"/>
              <w:jc w:val="center"/>
            </w:pPr>
            <w:r>
              <w:t>432 258.75</w:t>
            </w:r>
          </w:p>
        </w:tc>
        <w:tc>
          <w:tcPr>
            <w:tcW w:w="3308" w:type="dxa"/>
          </w:tcPr>
          <w:p w:rsidR="00CC2537" w:rsidRDefault="00CC2537" w:rsidP="00AD4500">
            <w:pPr>
              <w:autoSpaceDE w:val="0"/>
              <w:autoSpaceDN w:val="0"/>
              <w:adjustRightInd w:val="0"/>
              <w:jc w:val="center"/>
            </w:pPr>
            <w:r>
              <w:t>2 416 244.57</w:t>
            </w:r>
          </w:p>
        </w:tc>
      </w:tr>
      <w:tr w:rsidR="00CC2537" w:rsidTr="00AD4500">
        <w:trPr>
          <w:trHeight w:val="54"/>
        </w:trPr>
        <w:tc>
          <w:tcPr>
            <w:tcW w:w="3085" w:type="dxa"/>
            <w:vMerge/>
            <w:vAlign w:val="center"/>
          </w:tcPr>
          <w:p w:rsidR="00CC2537" w:rsidRDefault="00CC2537" w:rsidP="00AD4500">
            <w:pPr>
              <w:tabs>
                <w:tab w:val="left" w:pos="142"/>
                <w:tab w:val="left" w:pos="720"/>
              </w:tabs>
              <w:ind w:right="118"/>
            </w:pPr>
          </w:p>
        </w:tc>
        <w:tc>
          <w:tcPr>
            <w:tcW w:w="3308" w:type="dxa"/>
          </w:tcPr>
          <w:p w:rsidR="00CC2537" w:rsidRDefault="00CC2537" w:rsidP="00AD4500">
            <w:pPr>
              <w:autoSpaceDE w:val="0"/>
              <w:autoSpaceDN w:val="0"/>
              <w:adjustRightInd w:val="0"/>
              <w:jc w:val="center"/>
            </w:pPr>
            <w:r>
              <w:t>432 256.83</w:t>
            </w:r>
          </w:p>
        </w:tc>
        <w:tc>
          <w:tcPr>
            <w:tcW w:w="3308" w:type="dxa"/>
          </w:tcPr>
          <w:p w:rsidR="00CC2537" w:rsidRDefault="00CC2537" w:rsidP="00AD4500">
            <w:pPr>
              <w:autoSpaceDE w:val="0"/>
              <w:autoSpaceDN w:val="0"/>
              <w:adjustRightInd w:val="0"/>
              <w:jc w:val="center"/>
            </w:pPr>
            <w:r>
              <w:t>2 416 248.09</w:t>
            </w:r>
          </w:p>
        </w:tc>
      </w:tr>
      <w:tr w:rsidR="00CC2537" w:rsidTr="00AD4500">
        <w:trPr>
          <w:trHeight w:val="54"/>
        </w:trPr>
        <w:tc>
          <w:tcPr>
            <w:tcW w:w="3085" w:type="dxa"/>
            <w:vMerge/>
            <w:vAlign w:val="center"/>
          </w:tcPr>
          <w:p w:rsidR="00CC2537" w:rsidRDefault="00CC2537" w:rsidP="00AD4500">
            <w:pPr>
              <w:tabs>
                <w:tab w:val="left" w:pos="142"/>
                <w:tab w:val="left" w:pos="720"/>
              </w:tabs>
              <w:ind w:right="118"/>
            </w:pPr>
          </w:p>
        </w:tc>
        <w:tc>
          <w:tcPr>
            <w:tcW w:w="3308" w:type="dxa"/>
          </w:tcPr>
          <w:p w:rsidR="00CC2537" w:rsidRDefault="00CC2537" w:rsidP="00AD4500">
            <w:pPr>
              <w:autoSpaceDE w:val="0"/>
              <w:autoSpaceDN w:val="0"/>
              <w:adjustRightInd w:val="0"/>
              <w:jc w:val="center"/>
            </w:pPr>
            <w:r>
              <w:t>432 251.56</w:t>
            </w:r>
          </w:p>
        </w:tc>
        <w:tc>
          <w:tcPr>
            <w:tcW w:w="3308" w:type="dxa"/>
          </w:tcPr>
          <w:p w:rsidR="00CC2537" w:rsidRDefault="00CC2537" w:rsidP="00AD4500">
            <w:pPr>
              <w:autoSpaceDE w:val="0"/>
              <w:autoSpaceDN w:val="0"/>
              <w:adjustRightInd w:val="0"/>
              <w:jc w:val="center"/>
            </w:pPr>
            <w:r>
              <w:t>2 416 245.21</w:t>
            </w:r>
          </w:p>
        </w:tc>
      </w:tr>
      <w:tr w:rsidR="00CC2537" w:rsidTr="00AD4500">
        <w:trPr>
          <w:trHeight w:val="54"/>
        </w:trPr>
        <w:tc>
          <w:tcPr>
            <w:tcW w:w="3085" w:type="dxa"/>
            <w:vMerge/>
            <w:vAlign w:val="center"/>
          </w:tcPr>
          <w:p w:rsidR="00CC2537" w:rsidRDefault="00CC2537" w:rsidP="00AD4500">
            <w:pPr>
              <w:tabs>
                <w:tab w:val="left" w:pos="142"/>
                <w:tab w:val="left" w:pos="720"/>
              </w:tabs>
              <w:ind w:right="118"/>
            </w:pPr>
          </w:p>
        </w:tc>
        <w:tc>
          <w:tcPr>
            <w:tcW w:w="3308" w:type="dxa"/>
          </w:tcPr>
          <w:p w:rsidR="00CC2537" w:rsidRDefault="00CC2537" w:rsidP="00AD4500">
            <w:pPr>
              <w:autoSpaceDE w:val="0"/>
              <w:autoSpaceDN w:val="0"/>
              <w:adjustRightInd w:val="0"/>
              <w:jc w:val="center"/>
            </w:pPr>
            <w:r>
              <w:t>432 253.48</w:t>
            </w:r>
          </w:p>
        </w:tc>
        <w:tc>
          <w:tcPr>
            <w:tcW w:w="3308" w:type="dxa"/>
          </w:tcPr>
          <w:p w:rsidR="00CC2537" w:rsidRDefault="00CC2537" w:rsidP="00AD4500">
            <w:pPr>
              <w:autoSpaceDE w:val="0"/>
              <w:autoSpaceDN w:val="0"/>
              <w:adjustRightInd w:val="0"/>
              <w:jc w:val="center"/>
            </w:pPr>
            <w:r>
              <w:t>2 416 241.69</w:t>
            </w:r>
          </w:p>
        </w:tc>
      </w:tr>
      <w:tr w:rsidR="00CC2537" w:rsidTr="00AD4500">
        <w:tc>
          <w:tcPr>
            <w:tcW w:w="3085" w:type="dxa"/>
            <w:vAlign w:val="center"/>
          </w:tcPr>
          <w:p w:rsidR="00CC2537" w:rsidRDefault="00CC2537" w:rsidP="00AD4500">
            <w:pPr>
              <w:tabs>
                <w:tab w:val="left" w:pos="142"/>
                <w:tab w:val="left" w:pos="720"/>
              </w:tabs>
              <w:ind w:right="118"/>
            </w:pPr>
            <w:r>
              <w:lastRenderedPageBreak/>
              <w:t>Срок действия договора</w:t>
            </w:r>
          </w:p>
        </w:tc>
        <w:tc>
          <w:tcPr>
            <w:tcW w:w="6616" w:type="dxa"/>
            <w:gridSpan w:val="2"/>
            <w:vAlign w:val="center"/>
          </w:tcPr>
          <w:p w:rsidR="00CC2537" w:rsidRDefault="00CC2537" w:rsidP="00AD4500">
            <w:pPr>
              <w:tabs>
                <w:tab w:val="left" w:pos="142"/>
                <w:tab w:val="left" w:pos="540"/>
              </w:tabs>
            </w:pPr>
            <w:r>
              <w:t>5 лет</w:t>
            </w:r>
          </w:p>
        </w:tc>
      </w:tr>
      <w:tr w:rsidR="00CC2537" w:rsidTr="00AD4500">
        <w:tc>
          <w:tcPr>
            <w:tcW w:w="3085" w:type="dxa"/>
            <w:vAlign w:val="center"/>
          </w:tcPr>
          <w:p w:rsidR="00CC2537" w:rsidRDefault="00CC2537" w:rsidP="00AD4500">
            <w:pPr>
              <w:tabs>
                <w:tab w:val="left" w:pos="142"/>
                <w:tab w:val="left" w:pos="720"/>
              </w:tabs>
              <w:ind w:right="118"/>
            </w:pPr>
            <w:r>
              <w:t>Начальная (минимальная) ежемесячная цена договора:</w:t>
            </w:r>
          </w:p>
        </w:tc>
        <w:tc>
          <w:tcPr>
            <w:tcW w:w="6616" w:type="dxa"/>
            <w:gridSpan w:val="2"/>
            <w:vAlign w:val="center"/>
          </w:tcPr>
          <w:p w:rsidR="00CC2537" w:rsidRDefault="00CC2537" w:rsidP="00AD4500">
            <w:pPr>
              <w:tabs>
                <w:tab w:val="left" w:pos="142"/>
                <w:tab w:val="left" w:pos="540"/>
              </w:tabs>
            </w:pPr>
            <w:r>
              <w:t>301</w:t>
            </w:r>
            <w:r w:rsidRPr="00882603">
              <w:t xml:space="preserve"> (</w:t>
            </w:r>
            <w:r>
              <w:t>триста один</w:t>
            </w:r>
            <w:r w:rsidRPr="00882603">
              <w:t>) рубл</w:t>
            </w:r>
            <w:r>
              <w:t>ь 53</w:t>
            </w:r>
            <w:r w:rsidRPr="00882603">
              <w:t xml:space="preserve"> копе</w:t>
            </w:r>
            <w:r>
              <w:t>йки</w:t>
            </w:r>
          </w:p>
        </w:tc>
      </w:tr>
      <w:tr w:rsidR="00CC2537" w:rsidTr="00AD4500">
        <w:tc>
          <w:tcPr>
            <w:tcW w:w="3085" w:type="dxa"/>
            <w:vAlign w:val="center"/>
          </w:tcPr>
          <w:p w:rsidR="00CC2537" w:rsidRDefault="00CC2537" w:rsidP="00AD4500">
            <w:pPr>
              <w:tabs>
                <w:tab w:val="left" w:pos="142"/>
                <w:tab w:val="left" w:pos="720"/>
              </w:tabs>
              <w:ind w:right="118"/>
            </w:pPr>
            <w:r>
              <w:t>Шаг аукциона:</w:t>
            </w:r>
          </w:p>
        </w:tc>
        <w:tc>
          <w:tcPr>
            <w:tcW w:w="6616" w:type="dxa"/>
            <w:gridSpan w:val="2"/>
            <w:vAlign w:val="center"/>
          </w:tcPr>
          <w:p w:rsidR="00CC2537" w:rsidRDefault="00CC2537" w:rsidP="00AD4500">
            <w:pPr>
              <w:tabs>
                <w:tab w:val="left" w:pos="142"/>
                <w:tab w:val="left" w:pos="540"/>
              </w:tabs>
            </w:pPr>
            <w:r>
              <w:t>30 (тридцать) рублей 00 копеек</w:t>
            </w:r>
          </w:p>
        </w:tc>
      </w:tr>
      <w:tr w:rsidR="00CC2537" w:rsidTr="00AD4500">
        <w:tc>
          <w:tcPr>
            <w:tcW w:w="3085" w:type="dxa"/>
            <w:vAlign w:val="center"/>
          </w:tcPr>
          <w:p w:rsidR="00CC2537" w:rsidRDefault="00CC2537" w:rsidP="00AD4500">
            <w:pPr>
              <w:tabs>
                <w:tab w:val="left" w:pos="142"/>
                <w:tab w:val="left" w:pos="720"/>
              </w:tabs>
              <w:ind w:right="118"/>
            </w:pPr>
            <w:r>
              <w:t xml:space="preserve">Размер задатка: </w:t>
            </w:r>
          </w:p>
        </w:tc>
        <w:tc>
          <w:tcPr>
            <w:tcW w:w="6616" w:type="dxa"/>
            <w:gridSpan w:val="2"/>
            <w:vAlign w:val="center"/>
          </w:tcPr>
          <w:p w:rsidR="00CC2537" w:rsidRDefault="00CC2537" w:rsidP="00AD4500">
            <w:pPr>
              <w:tabs>
                <w:tab w:val="left" w:pos="142"/>
                <w:tab w:val="left" w:pos="540"/>
              </w:tabs>
            </w:pPr>
            <w:r>
              <w:t>301</w:t>
            </w:r>
            <w:r w:rsidRPr="00882603">
              <w:t xml:space="preserve"> (</w:t>
            </w:r>
            <w:r>
              <w:t>триста один</w:t>
            </w:r>
            <w:r w:rsidRPr="00882603">
              <w:t>) рубл</w:t>
            </w:r>
            <w:r>
              <w:t>ь 53</w:t>
            </w:r>
            <w:r w:rsidRPr="00882603">
              <w:t xml:space="preserve"> копе</w:t>
            </w:r>
            <w:r>
              <w:t>йки</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w:t>
      </w:r>
      <w:proofErr w:type="spellStart"/>
      <w:r>
        <w:rPr>
          <w:rFonts w:ascii="Open Sans" w:hAnsi="Open Sans"/>
          <w:color w:val="212529"/>
          <w:sz w:val="21"/>
          <w:szCs w:val="21"/>
        </w:rPr>
        <w:t>Сбербанк-АСТ</w:t>
      </w:r>
      <w:proofErr w:type="spellEnd"/>
      <w:r>
        <w:rPr>
          <w:rFonts w:ascii="Open Sans" w:hAnsi="Open Sans"/>
          <w:color w:val="212529"/>
          <w:sz w:val="21"/>
          <w:szCs w:val="21"/>
        </w:rPr>
        <w:t>»</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proofErr w:type="gramEnd"/>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proofErr w:type="gramStart"/>
      </w:hyperlink>
      <w:r w:rsidR="008D0E49">
        <w:t>.</w:t>
      </w:r>
      <w:proofErr w:type="gramEnd"/>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w:t>
      </w:r>
      <w:proofErr w:type="spellStart"/>
      <w:r>
        <w:t>Сбербанк-АСТ</w:t>
      </w:r>
      <w:proofErr w:type="spellEnd"/>
      <w:r>
        <w:t>»»</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proofErr w:type="gramStart"/>
      <w:r>
        <w:rPr>
          <w:rFonts w:ascii="Open Sans" w:hAnsi="Open Sans"/>
          <w:color w:val="212529"/>
          <w:sz w:val="21"/>
          <w:szCs w:val="21"/>
        </w:rPr>
        <w:t>Р</w:t>
      </w:r>
      <w:proofErr w:type="gramEnd"/>
      <w:r>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xml:space="preserve">Сумма задатка, внесенного участником, с которым заключен договор на размещение НТО, </w:t>
      </w:r>
      <w:proofErr w:type="gramStart"/>
      <w:r w:rsidRPr="00E219F6">
        <w:t>засчитывается в счет оплаты договора на размещение НТО и подлежит</w:t>
      </w:r>
      <w:proofErr w:type="gramEnd"/>
      <w:r w:rsidRPr="00E219F6">
        <w:t xml:space="preserve">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w:t>
      </w:r>
      <w:proofErr w:type="gramStart"/>
      <w:r w:rsidRPr="00FF630A">
        <w:t>дств в р</w:t>
      </w:r>
      <w:proofErr w:type="gramEnd"/>
      <w:r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w:t>
      </w:r>
      <w:r w:rsidRPr="00FF630A">
        <w:lastRenderedPageBreak/>
        <w:t xml:space="preserve">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w:t>
      </w:r>
      <w:proofErr w:type="gramStart"/>
      <w:r w:rsidRPr="00FF630A">
        <w:t>отвечает и не имеет</w:t>
      </w:r>
      <w:proofErr w:type="gramEnd"/>
      <w:r w:rsidRPr="00FF630A">
        <w:t xml:space="preserve">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 xml:space="preserve">Протокол об итогах аукциона </w:t>
      </w:r>
      <w:proofErr w:type="gramStart"/>
      <w:r w:rsidRPr="00C7539A">
        <w:t>удостоверяет право победителя на заключение договора на размещение НТО и содержит</w:t>
      </w:r>
      <w:proofErr w:type="gramEnd"/>
      <w:r w:rsidRPr="00C7539A">
        <w:t xml:space="preserve">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19482E">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proofErr w:type="gramStart"/>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w:t>
      </w:r>
      <w:proofErr w:type="gramEnd"/>
      <w:r>
        <w:rPr>
          <w:bCs/>
        </w:rPr>
        <w:t xml:space="preserve">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w:t>
      </w:r>
      <w:proofErr w:type="gramStart"/>
      <w:r w:rsidRPr="00B30E5E">
        <w:rPr>
          <w:bCs/>
        </w:rPr>
        <w:t>рассматривает и согласовывает</w:t>
      </w:r>
      <w:proofErr w:type="gramEnd"/>
      <w:r w:rsidRPr="00B30E5E">
        <w:rPr>
          <w:bCs/>
        </w:rPr>
        <w:t xml:space="preserve">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20E"/>
    <w:rsid w:val="000B02D9"/>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6D89"/>
    <w:rsid w:val="0016730A"/>
    <w:rsid w:val="00170A52"/>
    <w:rsid w:val="00175999"/>
    <w:rsid w:val="00176843"/>
    <w:rsid w:val="00176C74"/>
    <w:rsid w:val="00177C5E"/>
    <w:rsid w:val="00180668"/>
    <w:rsid w:val="00181944"/>
    <w:rsid w:val="00184F09"/>
    <w:rsid w:val="00185456"/>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0999"/>
    <w:rsid w:val="003A1150"/>
    <w:rsid w:val="003A25D6"/>
    <w:rsid w:val="003A4C32"/>
    <w:rsid w:val="003A51FA"/>
    <w:rsid w:val="003A62D0"/>
    <w:rsid w:val="003A7722"/>
    <w:rsid w:val="003B0467"/>
    <w:rsid w:val="003B072A"/>
    <w:rsid w:val="003B238D"/>
    <w:rsid w:val="003B3436"/>
    <w:rsid w:val="003B3A86"/>
    <w:rsid w:val="003B3C41"/>
    <w:rsid w:val="003B3FA0"/>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E99"/>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34F5"/>
    <w:rsid w:val="00634570"/>
    <w:rsid w:val="006357FF"/>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4602"/>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77588"/>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6"/>
    <w:rsid w:val="00AB008E"/>
    <w:rsid w:val="00AB0C03"/>
    <w:rsid w:val="00AB0D74"/>
    <w:rsid w:val="00AB1CF3"/>
    <w:rsid w:val="00AB2674"/>
    <w:rsid w:val="00AB6531"/>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BD6"/>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012D"/>
    <w:rsid w:val="00C64771"/>
    <w:rsid w:val="00C6777E"/>
    <w:rsid w:val="00C67872"/>
    <w:rsid w:val="00C7398D"/>
    <w:rsid w:val="00C75220"/>
    <w:rsid w:val="00C7539A"/>
    <w:rsid w:val="00C764A0"/>
    <w:rsid w:val="00C801B4"/>
    <w:rsid w:val="00C80A07"/>
    <w:rsid w:val="00C819D3"/>
    <w:rsid w:val="00C83E74"/>
    <w:rsid w:val="00C8484E"/>
    <w:rsid w:val="00C86DBE"/>
    <w:rsid w:val="00C870C8"/>
    <w:rsid w:val="00C877EA"/>
    <w:rsid w:val="00C93EBF"/>
    <w:rsid w:val="00C94F43"/>
    <w:rsid w:val="00C94FAB"/>
    <w:rsid w:val="00C958E8"/>
    <w:rsid w:val="00C962BA"/>
    <w:rsid w:val="00C96C95"/>
    <w:rsid w:val="00C97DC1"/>
    <w:rsid w:val="00CA2D18"/>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2537"/>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4702"/>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29675</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20</cp:revision>
  <cp:lastPrinted>2022-03-21T06:11:00Z</cp:lastPrinted>
  <dcterms:created xsi:type="dcterms:W3CDTF">2022-07-07T22:26:00Z</dcterms:created>
  <dcterms:modified xsi:type="dcterms:W3CDTF">2023-04-03T05:52:00Z</dcterms:modified>
</cp:coreProperties>
</file>