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527CDD">
        <w:rPr>
          <w:b/>
        </w:rPr>
        <w:t>5</w:t>
      </w:r>
      <w:r w:rsidR="000D41BA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F14C06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F14C06" w:rsidTr="00051E86">
        <w:tc>
          <w:tcPr>
            <w:tcW w:w="297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79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proofErr w:type="spellStart"/>
            <w:r w:rsidRPr="003F1DDE">
              <w:rPr>
                <w:u w:val="single"/>
                <w:lang w:val="en-US"/>
              </w:rPr>
              <w:t>magadan</w:t>
            </w:r>
            <w:proofErr w:type="spellEnd"/>
            <w:r w:rsidRPr="003F1DDE">
              <w:rPr>
                <w:u w:val="single"/>
              </w:rPr>
              <w:t>.49</w:t>
            </w:r>
            <w:proofErr w:type="spellStart"/>
            <w:r w:rsidRPr="003F1DDE">
              <w:rPr>
                <w:u w:val="single"/>
                <w:lang w:val="en-US"/>
              </w:rPr>
              <w:t>gov</w:t>
            </w:r>
            <w:proofErr w:type="spellEnd"/>
            <w:r w:rsidRPr="003F1DDE">
              <w:rPr>
                <w:u w:val="single"/>
              </w:rPr>
              <w:t>.</w:t>
            </w:r>
            <w:proofErr w:type="spellStart"/>
            <w:r w:rsidRPr="003F1DDE">
              <w:rPr>
                <w:u w:val="single"/>
                <w:lang w:val="en-US"/>
              </w:rPr>
              <w:t>ru</w:t>
            </w:r>
            <w:proofErr w:type="spellEnd"/>
            <w:r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6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8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9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proofErr w:type="spellStart"/>
              <w:r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RPr="00F77477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796" w:type="dxa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051E86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796" w:type="dxa"/>
            <w:vAlign w:val="center"/>
          </w:tcPr>
          <w:p w:rsidR="006B19B2" w:rsidRPr="003F1DDE" w:rsidRDefault="004B3DFA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796" w:type="dxa"/>
          </w:tcPr>
          <w:p w:rsidR="00F14C06" w:rsidRPr="00AA74AE" w:rsidRDefault="000D41BA" w:rsidP="000D41BA">
            <w:pPr>
              <w:jc w:val="both"/>
              <w:rPr>
                <w:highlight w:val="yellow"/>
              </w:rPr>
            </w:pPr>
            <w:r>
              <w:rPr>
                <w:b/>
              </w:rPr>
              <w:t>02</w:t>
            </w:r>
            <w:r w:rsidR="00F14C06" w:rsidRPr="002938A6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14C06" w:rsidRPr="002938A6">
              <w:rPr>
                <w:b/>
              </w:rPr>
              <w:t xml:space="preserve"> 2023 г</w:t>
            </w:r>
            <w:r w:rsidR="00F14C06"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796" w:type="dxa"/>
          </w:tcPr>
          <w:p w:rsidR="00F14C06" w:rsidRPr="00D755BE" w:rsidRDefault="000D41BA" w:rsidP="000D41BA">
            <w:pPr>
              <w:jc w:val="both"/>
            </w:pPr>
            <w:r>
              <w:rPr>
                <w:b/>
              </w:rPr>
              <w:t>29</w:t>
            </w:r>
            <w:r w:rsidR="00F14C06" w:rsidRPr="00D755BE">
              <w:rPr>
                <w:b/>
              </w:rPr>
              <w:t xml:space="preserve"> марта 2023 г</w:t>
            </w:r>
            <w:r w:rsidR="00F14C06" w:rsidRPr="00D755BE">
              <w:t>. в 17.00 по магаданскому времени (09.00 по московскому времени).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796" w:type="dxa"/>
          </w:tcPr>
          <w:p w:rsidR="00F14C06" w:rsidRPr="00D755BE" w:rsidRDefault="000D41BA" w:rsidP="00F14C06">
            <w:pPr>
              <w:jc w:val="both"/>
            </w:pPr>
            <w:r>
              <w:rPr>
                <w:b/>
              </w:rPr>
              <w:t>30</w:t>
            </w:r>
            <w:r w:rsidR="00F14C06" w:rsidRPr="00D755BE">
              <w:rPr>
                <w:b/>
              </w:rPr>
              <w:t xml:space="preserve"> марта 2023 г.</w:t>
            </w:r>
            <w:r w:rsidR="00F14C06" w:rsidRPr="00D755BE">
              <w:t xml:space="preserve"> в 10.00 по магаданскому времени (02.00 по московскому времени).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7796" w:type="dxa"/>
          </w:tcPr>
          <w:p w:rsidR="00F14C06" w:rsidRPr="00D755BE" w:rsidRDefault="00F14C06" w:rsidP="00F14C06">
            <w:r w:rsidRPr="00D755BE">
              <w:t>www.rts-tender.ru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796" w:type="dxa"/>
          </w:tcPr>
          <w:p w:rsidR="00F14C06" w:rsidRPr="00D755BE" w:rsidRDefault="000D41BA" w:rsidP="000D41BA">
            <w:pPr>
              <w:jc w:val="both"/>
            </w:pPr>
            <w:r>
              <w:rPr>
                <w:b/>
              </w:rPr>
              <w:t>03</w:t>
            </w:r>
            <w:r w:rsidR="00F14C06" w:rsidRPr="00D755BE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1E3602" w:rsidRPr="002B0F38" w:rsidTr="00051E86">
        <w:tc>
          <w:tcPr>
            <w:tcW w:w="10773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</w:p>
        </w:tc>
      </w:tr>
      <w:tr w:rsidR="001E3602" w:rsidRPr="00BE017C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796" w:type="dxa"/>
          </w:tcPr>
          <w:p w:rsidR="000D41BA" w:rsidRDefault="000D41BA" w:rsidP="00BD0995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0D41BA">
              <w:t xml:space="preserve">ежилое помещение общей площадью 182,8 </w:t>
            </w:r>
            <w:proofErr w:type="spellStart"/>
            <w:r w:rsidRPr="000D41BA">
              <w:t>кв.м</w:t>
            </w:r>
            <w:proofErr w:type="spellEnd"/>
            <w:r w:rsidRPr="000D41BA">
              <w:t>, с кадастровым номером 49:09:032201:379, расположенное по адресу город Магадан, улица Пионерская, дом 3, корпус 1</w:t>
            </w:r>
            <w:r>
              <w:t>.</w:t>
            </w:r>
          </w:p>
          <w:p w:rsidR="001E3602" w:rsidRPr="00BE017C" w:rsidRDefault="001E3602" w:rsidP="00BD0995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аукциона/</w:t>
            </w:r>
            <w:r w:rsidRPr="009E73FA">
              <w:t>единственным участником аукциона</w:t>
            </w:r>
            <w:r>
              <w:t xml:space="preserve"> дополнительно возмещаются расходы по оценке рыночной стоимости указанного имущества в сумме </w:t>
            </w:r>
            <w:r w:rsidR="00F14C06">
              <w:t xml:space="preserve">  </w:t>
            </w:r>
            <w:r w:rsidR="00A71D3E" w:rsidRPr="002E6623">
              <w:t>3149,99</w:t>
            </w:r>
            <w:r w:rsidR="00A71D3E">
              <w:t xml:space="preserve"> </w:t>
            </w:r>
            <w:r>
              <w:t>руб.</w:t>
            </w:r>
          </w:p>
        </w:tc>
      </w:tr>
      <w:tr w:rsidR="001E3602" w:rsidRPr="00E43924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7796" w:type="dxa"/>
          </w:tcPr>
          <w:p w:rsidR="001E3602" w:rsidRPr="003F1DDE" w:rsidRDefault="001E3602" w:rsidP="000D41BA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 w:rsidR="00FD7B92">
              <w:t>3</w:t>
            </w:r>
            <w:r w:rsidRPr="003F1DDE">
              <w:t xml:space="preserve"> год, постановление мэрии города Магадана от </w:t>
            </w:r>
            <w:r w:rsidR="000D41BA">
              <w:t>17</w:t>
            </w:r>
            <w:r w:rsidR="00A56539">
              <w:t>.02.2023</w:t>
            </w:r>
            <w:r w:rsidRPr="003F1DDE">
              <w:t xml:space="preserve"> № </w:t>
            </w:r>
            <w:r w:rsidR="000D41BA">
              <w:t>401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A56539" w:rsidTr="002044E8">
        <w:tc>
          <w:tcPr>
            <w:tcW w:w="2977" w:type="dxa"/>
            <w:vAlign w:val="center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7796" w:type="dxa"/>
          </w:tcPr>
          <w:p w:rsidR="00A56539" w:rsidRPr="003F1DDE" w:rsidRDefault="000D41BA" w:rsidP="000D41BA">
            <w:r>
              <w:t>2 097 000</w:t>
            </w:r>
            <w:r w:rsidR="00A56539" w:rsidRPr="0046064E">
              <w:t xml:space="preserve"> (</w:t>
            </w:r>
            <w:r>
              <w:t>два миллиона девяносто семь</w:t>
            </w:r>
            <w:r w:rsidR="00A56539">
              <w:t xml:space="preserve"> тысяч</w:t>
            </w:r>
            <w:r w:rsidR="00A56539" w:rsidRPr="0046064E">
              <w:t xml:space="preserve">) рублей 00 копеек </w:t>
            </w:r>
            <w:r w:rsidR="00A56539" w:rsidRPr="003F1DDE">
              <w:t>(в том числе НДС)</w:t>
            </w:r>
          </w:p>
        </w:tc>
      </w:tr>
      <w:tr w:rsidR="00A56539" w:rsidTr="00051E86">
        <w:tc>
          <w:tcPr>
            <w:tcW w:w="2977" w:type="dxa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7796" w:type="dxa"/>
          </w:tcPr>
          <w:p w:rsidR="00A56539" w:rsidRPr="00A56539" w:rsidRDefault="001A32D3" w:rsidP="001A32D3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104 800</w:t>
            </w:r>
            <w:r w:rsidR="00A56539" w:rsidRPr="00876CE0">
              <w:t xml:space="preserve"> (</w:t>
            </w:r>
            <w:r>
              <w:t>сто четыре</w:t>
            </w:r>
            <w:r w:rsidR="00876CE0" w:rsidRPr="00876CE0">
              <w:t xml:space="preserve"> тысяч</w:t>
            </w:r>
            <w:r>
              <w:t>и</w:t>
            </w:r>
            <w:r w:rsidR="00876CE0" w:rsidRPr="00876CE0">
              <w:t xml:space="preserve"> восемьсот</w:t>
            </w:r>
            <w:r w:rsidR="00A56539" w:rsidRPr="00876CE0">
              <w:t>) рублей 00 копеек</w:t>
            </w:r>
          </w:p>
        </w:tc>
      </w:tr>
      <w:tr w:rsidR="00A56539" w:rsidTr="00051E86">
        <w:tc>
          <w:tcPr>
            <w:tcW w:w="2977" w:type="dxa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7796" w:type="dxa"/>
          </w:tcPr>
          <w:p w:rsidR="00A56539" w:rsidRPr="00A56539" w:rsidRDefault="001A32D3" w:rsidP="001A32D3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209 700</w:t>
            </w:r>
            <w:r w:rsidR="00876CE0" w:rsidRPr="00876CE0">
              <w:t xml:space="preserve"> (</w:t>
            </w:r>
            <w:r>
              <w:t>двести девять</w:t>
            </w:r>
            <w:r w:rsidR="00876CE0" w:rsidRPr="00876CE0">
              <w:t xml:space="preserve"> тысяч </w:t>
            </w:r>
            <w:r>
              <w:t>сем</w:t>
            </w:r>
            <w:r w:rsidR="00876CE0" w:rsidRPr="00876CE0">
              <w:t>ьсот) рублей 00 копеек</w:t>
            </w:r>
          </w:p>
        </w:tc>
      </w:tr>
      <w:tr w:rsidR="00A56539" w:rsidTr="00051E86">
        <w:tc>
          <w:tcPr>
            <w:tcW w:w="2977" w:type="dxa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7796" w:type="dxa"/>
          </w:tcPr>
          <w:p w:rsidR="00A56539" w:rsidRPr="00A56539" w:rsidRDefault="00855C66" w:rsidP="00F63AD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1E3602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796" w:type="dxa"/>
          </w:tcPr>
          <w:p w:rsidR="004B3DFA" w:rsidRDefault="00F63AD1" w:rsidP="00527CDD">
            <w:pPr>
              <w:tabs>
                <w:tab w:val="left" w:pos="142"/>
              </w:tabs>
              <w:ind w:right="118"/>
            </w:pPr>
            <w:r>
              <w:t>Первый</w:t>
            </w:r>
            <w:r w:rsidR="001E3602">
              <w:t xml:space="preserve"> аукцион</w:t>
            </w:r>
          </w:p>
          <w:p w:rsidR="004B3DFA" w:rsidRDefault="004B3DFA" w:rsidP="004B3DFA"/>
          <w:p w:rsidR="001E3602" w:rsidRPr="004B3DFA" w:rsidRDefault="001E3602" w:rsidP="004B3DFA">
            <w:pPr>
              <w:ind w:firstLine="708"/>
            </w:pPr>
            <w:bookmarkStart w:id="0" w:name="_GoBack"/>
            <w:bookmarkEnd w:id="0"/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</w:rPr>
          <w:t xml:space="preserve"> </w:t>
        </w:r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3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4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5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6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7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ind w:left="360"/>
        <w:jc w:val="center"/>
        <w:rPr>
          <w:b/>
        </w:rPr>
      </w:pP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lastRenderedPageBreak/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b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9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0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ПОЛУЧАТЕЛЬ:</w:t>
      </w:r>
      <w:r>
        <w:rPr>
          <w:rFonts w:ascii="Times New Roman" w:hAnsi="Times New Roman" w:cs="Times New Roman"/>
        </w:rPr>
        <w:t xml:space="preserve"> </w:t>
      </w:r>
      <w:r w:rsidRPr="00F61369">
        <w:rPr>
          <w:rFonts w:ascii="Times New Roman" w:hAnsi="Times New Roman" w:cs="Times New Roman"/>
        </w:rPr>
        <w:t xml:space="preserve">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729F0"/>
    <w:rsid w:val="00475255"/>
    <w:rsid w:val="00476AE6"/>
    <w:rsid w:val="00484044"/>
    <w:rsid w:val="00491D59"/>
    <w:rsid w:val="004A7790"/>
    <w:rsid w:val="004B3DFA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419CD"/>
    <w:rsid w:val="00855C66"/>
    <w:rsid w:val="00860845"/>
    <w:rsid w:val="0086153A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56539"/>
    <w:rsid w:val="00A702E1"/>
    <w:rsid w:val="00A71D3E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F0640C"/>
    <w:rsid w:val="00F14C06"/>
    <w:rsid w:val="00F301D2"/>
    <w:rsid w:val="00F339BC"/>
    <w:rsid w:val="00F43F78"/>
    <w:rsid w:val="00F52597"/>
    <w:rsid w:val="00F63AD1"/>
    <w:rsid w:val="00F668F8"/>
    <w:rsid w:val="00F7202E"/>
    <w:rsid w:val="00F91D2F"/>
    <w:rsid w:val="00FB012A"/>
    <w:rsid w:val="00FB15E0"/>
    <w:rsid w:val="00FC266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E2A7-FF67-45E9-9961-17A55DFA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magadango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3F82-FDE3-4F79-927F-FF98E824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2</cp:revision>
  <cp:lastPrinted>2023-02-27T03:41:00Z</cp:lastPrinted>
  <dcterms:created xsi:type="dcterms:W3CDTF">2023-03-01T01:12:00Z</dcterms:created>
  <dcterms:modified xsi:type="dcterms:W3CDTF">2023-03-01T01:12:00Z</dcterms:modified>
</cp:coreProperties>
</file>